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40B7" w14:textId="77777777" w:rsidR="00B814C0" w:rsidRDefault="0077723C">
      <w:pPr>
        <w:jc w:val="center"/>
        <w:rPr>
          <w:rFonts w:ascii="Lato" w:eastAsia="Lato" w:hAnsi="Lato" w:cs="Lato"/>
          <w:b/>
          <w:bCs/>
          <w:sz w:val="32"/>
          <w:szCs w:val="32"/>
        </w:rPr>
      </w:pPr>
      <w:r>
        <w:rPr>
          <w:rFonts w:ascii="Lato" w:eastAsia="Lato" w:hAnsi="Lato" w:cs="Lato"/>
          <w:b/>
          <w:bCs/>
          <w:sz w:val="32"/>
          <w:szCs w:val="32"/>
        </w:rPr>
        <w:t>Il lato luminoso e oscuro dell’auto digitale</w:t>
      </w:r>
    </w:p>
    <w:p w14:paraId="654A8DA9" w14:textId="77777777" w:rsidR="00B814C0" w:rsidRDefault="00B814C0">
      <w:pPr>
        <w:jc w:val="center"/>
        <w:rPr>
          <w:rStyle w:val="NessunoA"/>
          <w:rFonts w:ascii="Lato" w:eastAsia="Lato" w:hAnsi="Lato" w:cs="Lato"/>
          <w:b/>
          <w:bCs/>
          <w:sz w:val="32"/>
          <w:szCs w:val="32"/>
        </w:rPr>
      </w:pPr>
    </w:p>
    <w:p w14:paraId="78297CC9" w14:textId="3B440C3F" w:rsidR="00B814C0" w:rsidRDefault="0077723C">
      <w:pPr>
        <w:jc w:val="both"/>
        <w:rPr>
          <w:rFonts w:ascii="Lato" w:eastAsia="Lato" w:hAnsi="Lato" w:cs="Lato"/>
          <w:i/>
          <w:iCs/>
        </w:rPr>
      </w:pPr>
      <w:r>
        <w:rPr>
          <w:rFonts w:ascii="Lato" w:eastAsia="Lato" w:hAnsi="Lato" w:cs="Lato"/>
          <w:i/>
          <w:iCs/>
        </w:rPr>
        <w:t>Le auto connesse, la guida autonoma</w:t>
      </w:r>
      <w:r>
        <w:rPr>
          <w:rFonts w:ascii="Lato" w:eastAsia="Lato" w:hAnsi="Lato" w:cs="Lato"/>
          <w:i/>
          <w:iCs/>
        </w:rPr>
        <w:t xml:space="preserve"> e la stessa elettrificazione, sono aspetti della più generale digitalizzazione dei veicoli. Si tratta di veri e propri digital device, controllati da software, in </w:t>
      </w:r>
      <w:r>
        <w:rPr>
          <w:rFonts w:ascii="Lato" w:eastAsia="Lato" w:hAnsi="Lato" w:cs="Lato"/>
          <w:i/>
          <w:iCs/>
        </w:rPr>
        <w:t>costante evoluzione. E nei cambiamenti si palesano vantaggi, ma si nascondono anche insidie. Appuntamento a Next Generation Mobility il 5 maggio a Torino.</w:t>
      </w:r>
    </w:p>
    <w:p w14:paraId="6AA5168A" w14:textId="77777777" w:rsidR="00B814C0" w:rsidRDefault="00B814C0">
      <w:pPr>
        <w:jc w:val="both"/>
        <w:rPr>
          <w:rFonts w:ascii="Arial" w:eastAsia="Arial" w:hAnsi="Arial" w:cs="Arial"/>
        </w:rPr>
      </w:pPr>
    </w:p>
    <w:p w14:paraId="5A5E9F25" w14:textId="77777777" w:rsidR="00B814C0" w:rsidRDefault="0077723C">
      <w:pPr>
        <w:jc w:val="both"/>
        <w:rPr>
          <w:rFonts w:ascii="Arial" w:eastAsia="Arial" w:hAnsi="Arial" w:cs="Arial"/>
          <w:sz w:val="22"/>
          <w:szCs w:val="22"/>
        </w:rPr>
      </w:pPr>
      <w:r>
        <w:rPr>
          <w:rFonts w:ascii="Lato" w:eastAsia="Lato" w:hAnsi="Lato" w:cs="Lato"/>
          <w:i/>
          <w:iCs/>
          <w:sz w:val="22"/>
          <w:szCs w:val="22"/>
        </w:rPr>
        <w:t xml:space="preserve">Torino, 28 aprile 2022. </w:t>
      </w:r>
      <w:r>
        <w:rPr>
          <w:rFonts w:ascii="Arial" w:hAnsi="Arial"/>
          <w:sz w:val="22"/>
          <w:szCs w:val="22"/>
        </w:rPr>
        <w:t>La crisi di approvvigionamento di componenti elettronici - la cosiddetta chi</w:t>
      </w:r>
      <w:r>
        <w:rPr>
          <w:rFonts w:ascii="Arial" w:hAnsi="Arial"/>
          <w:sz w:val="22"/>
          <w:szCs w:val="22"/>
        </w:rPr>
        <w:t>p crunch - ha fatto di colpo venire alla ribalta il livello di digitalizzazione dei veicoli, soprattutto dell</w:t>
      </w:r>
      <w:r>
        <w:rPr>
          <w:rFonts w:ascii="Arial" w:hAnsi="Arial"/>
          <w:sz w:val="22"/>
          <w:szCs w:val="22"/>
        </w:rPr>
        <w:t>’</w:t>
      </w:r>
      <w:r>
        <w:rPr>
          <w:rFonts w:ascii="Arial" w:hAnsi="Arial"/>
          <w:sz w:val="22"/>
          <w:szCs w:val="22"/>
        </w:rPr>
        <w:t xml:space="preserve">automobile. </w:t>
      </w:r>
    </w:p>
    <w:p w14:paraId="7B0C47AC" w14:textId="77777777" w:rsidR="00B814C0" w:rsidRDefault="0077723C">
      <w:pPr>
        <w:jc w:val="both"/>
        <w:rPr>
          <w:rFonts w:ascii="Arial" w:eastAsia="Arial" w:hAnsi="Arial" w:cs="Arial"/>
          <w:sz w:val="22"/>
          <w:szCs w:val="22"/>
        </w:rPr>
      </w:pPr>
      <w:r>
        <w:rPr>
          <w:rFonts w:ascii="Arial" w:hAnsi="Arial"/>
          <w:sz w:val="22"/>
          <w:szCs w:val="22"/>
        </w:rPr>
        <w:t>In un</w:t>
      </w:r>
      <w:r>
        <w:rPr>
          <w:rFonts w:ascii="Arial" w:hAnsi="Arial"/>
          <w:sz w:val="22"/>
          <w:szCs w:val="22"/>
        </w:rPr>
        <w:t>’</w:t>
      </w:r>
      <w:r>
        <w:rPr>
          <w:rFonts w:ascii="Arial" w:hAnsi="Arial"/>
          <w:sz w:val="22"/>
          <w:szCs w:val="22"/>
        </w:rPr>
        <w:t xml:space="preserve">auto ci sono in media oltre 1.400 microcomponenti elettronici e anche se il loro valore unitario </w:t>
      </w:r>
      <w:r>
        <w:rPr>
          <w:rFonts w:ascii="Arial" w:hAnsi="Arial"/>
          <w:sz w:val="22"/>
          <w:szCs w:val="22"/>
        </w:rPr>
        <w:t xml:space="preserve">è </w:t>
      </w:r>
      <w:r>
        <w:rPr>
          <w:rFonts w:ascii="Arial" w:hAnsi="Arial"/>
          <w:sz w:val="22"/>
          <w:szCs w:val="22"/>
        </w:rPr>
        <w:t>di solito basso, il loro num</w:t>
      </w:r>
      <w:r>
        <w:rPr>
          <w:rFonts w:ascii="Arial" w:hAnsi="Arial"/>
          <w:sz w:val="22"/>
          <w:szCs w:val="22"/>
        </w:rPr>
        <w:t>ero lo fa salire a diverse migliaia di euro. I fattori importanti sono per</w:t>
      </w:r>
      <w:r>
        <w:rPr>
          <w:rFonts w:ascii="Arial" w:hAnsi="Arial"/>
          <w:sz w:val="22"/>
          <w:szCs w:val="22"/>
        </w:rPr>
        <w:t xml:space="preserve">ò </w:t>
      </w:r>
      <w:r>
        <w:rPr>
          <w:rFonts w:ascii="Arial" w:hAnsi="Arial"/>
          <w:sz w:val="22"/>
          <w:szCs w:val="22"/>
        </w:rPr>
        <w:t>pi</w:t>
      </w:r>
      <w:r>
        <w:rPr>
          <w:rFonts w:ascii="Arial" w:hAnsi="Arial"/>
          <w:sz w:val="22"/>
          <w:szCs w:val="22"/>
        </w:rPr>
        <w:t xml:space="preserve">ù </w:t>
      </w:r>
      <w:r>
        <w:rPr>
          <w:rFonts w:ascii="Arial" w:hAnsi="Arial"/>
          <w:sz w:val="22"/>
          <w:szCs w:val="22"/>
        </w:rPr>
        <w:t>profondi. Per questo Next Generation Mobility, in programma al Museo Nazionale dell</w:t>
      </w:r>
      <w:r>
        <w:rPr>
          <w:rFonts w:ascii="Arial" w:hAnsi="Arial"/>
          <w:sz w:val="22"/>
          <w:szCs w:val="22"/>
        </w:rPr>
        <w:t>’</w:t>
      </w:r>
      <w:r>
        <w:rPr>
          <w:rFonts w:ascii="Arial" w:hAnsi="Arial"/>
          <w:sz w:val="22"/>
          <w:szCs w:val="22"/>
        </w:rPr>
        <w:t>Automobile di Torino dal 3 al 5 maggio dedica l</w:t>
      </w:r>
      <w:r>
        <w:rPr>
          <w:rFonts w:ascii="Arial" w:hAnsi="Arial"/>
          <w:sz w:val="22"/>
          <w:szCs w:val="22"/>
        </w:rPr>
        <w:t>’</w:t>
      </w:r>
      <w:r>
        <w:rPr>
          <w:rFonts w:ascii="Arial" w:hAnsi="Arial"/>
          <w:sz w:val="22"/>
          <w:szCs w:val="22"/>
        </w:rPr>
        <w:t>intera mattinata del terzo giorno a questi t</w:t>
      </w:r>
      <w:r>
        <w:rPr>
          <w:rFonts w:ascii="Arial" w:hAnsi="Arial"/>
          <w:sz w:val="22"/>
          <w:szCs w:val="22"/>
        </w:rPr>
        <w:t>emi, per metterne in evidenza la duplice faccia che si cela dietro ad essi: il loro lato luminoso e per quello oscuro.</w:t>
      </w:r>
    </w:p>
    <w:p w14:paraId="21268DA5" w14:textId="77777777" w:rsidR="00B814C0" w:rsidRDefault="00B814C0">
      <w:pPr>
        <w:jc w:val="both"/>
        <w:rPr>
          <w:rFonts w:ascii="Arial" w:eastAsia="Arial" w:hAnsi="Arial" w:cs="Arial"/>
          <w:sz w:val="22"/>
          <w:szCs w:val="22"/>
        </w:rPr>
      </w:pPr>
    </w:p>
    <w:p w14:paraId="5F14A5AB" w14:textId="21D9682F" w:rsidR="00B814C0" w:rsidRDefault="0077723C">
      <w:pPr>
        <w:jc w:val="both"/>
        <w:rPr>
          <w:rFonts w:ascii="Arial" w:eastAsia="Arial" w:hAnsi="Arial" w:cs="Arial"/>
          <w:sz w:val="22"/>
          <w:szCs w:val="22"/>
        </w:rPr>
      </w:pPr>
      <w:r>
        <w:rPr>
          <w:rFonts w:ascii="Arial" w:hAnsi="Arial"/>
          <w:sz w:val="22"/>
          <w:szCs w:val="22"/>
        </w:rPr>
        <w:t xml:space="preserve">Tra i fattori di base da considerare vi </w:t>
      </w:r>
      <w:r>
        <w:rPr>
          <w:rFonts w:ascii="Arial" w:hAnsi="Arial"/>
          <w:sz w:val="22"/>
          <w:szCs w:val="22"/>
        </w:rPr>
        <w:t xml:space="preserve">è </w:t>
      </w:r>
      <w:r>
        <w:rPr>
          <w:rFonts w:ascii="Arial" w:hAnsi="Arial"/>
          <w:sz w:val="22"/>
          <w:szCs w:val="22"/>
        </w:rPr>
        <w:t xml:space="preserve">innanzitutto la percentuale crescente di </w:t>
      </w:r>
      <w:r>
        <w:rPr>
          <w:rFonts w:ascii="Arial" w:hAnsi="Arial"/>
          <w:sz w:val="22"/>
          <w:szCs w:val="22"/>
        </w:rPr>
        <w:t>“</w:t>
      </w:r>
      <w:r>
        <w:rPr>
          <w:rFonts w:ascii="Arial" w:hAnsi="Arial"/>
          <w:sz w:val="22"/>
          <w:szCs w:val="22"/>
        </w:rPr>
        <w:t>chip logici</w:t>
      </w:r>
      <w:r>
        <w:rPr>
          <w:rFonts w:ascii="Arial" w:hAnsi="Arial"/>
          <w:sz w:val="22"/>
          <w:szCs w:val="22"/>
        </w:rPr>
        <w:t>”</w:t>
      </w:r>
      <w:r>
        <w:rPr>
          <w:rFonts w:ascii="Arial" w:hAnsi="Arial"/>
          <w:sz w:val="22"/>
          <w:szCs w:val="22"/>
        </w:rPr>
        <w:t>, ossia microprocessori o controller sem</w:t>
      </w:r>
      <w:r>
        <w:rPr>
          <w:rFonts w:ascii="Arial" w:hAnsi="Arial"/>
          <w:sz w:val="22"/>
          <w:szCs w:val="22"/>
        </w:rPr>
        <w:t>pre pi</w:t>
      </w:r>
      <w:r>
        <w:rPr>
          <w:rFonts w:ascii="Arial" w:hAnsi="Arial"/>
          <w:sz w:val="22"/>
          <w:szCs w:val="22"/>
        </w:rPr>
        <w:t xml:space="preserve">ù </w:t>
      </w:r>
      <w:r>
        <w:rPr>
          <w:rFonts w:ascii="Arial" w:hAnsi="Arial"/>
          <w:sz w:val="22"/>
          <w:szCs w:val="22"/>
        </w:rPr>
        <w:t xml:space="preserve">evoluti e complessi, su cui opera il software </w:t>
      </w:r>
      <w:r>
        <w:rPr>
          <w:rFonts w:ascii="Arial" w:hAnsi="Arial"/>
          <w:sz w:val="22"/>
          <w:szCs w:val="22"/>
        </w:rPr>
        <w:t>con codice di alto livello. In secondo luogo, l</w:t>
      </w:r>
      <w:r>
        <w:rPr>
          <w:rFonts w:ascii="Arial" w:hAnsi="Arial"/>
          <w:sz w:val="22"/>
          <w:szCs w:val="22"/>
        </w:rPr>
        <w:t>’</w:t>
      </w:r>
      <w:r>
        <w:rPr>
          <w:rFonts w:ascii="Arial" w:hAnsi="Arial"/>
          <w:sz w:val="22"/>
          <w:szCs w:val="22"/>
        </w:rPr>
        <w:t xml:space="preserve">azione di questi veri e propri computer </w:t>
      </w:r>
      <w:r>
        <w:rPr>
          <w:rFonts w:ascii="Arial" w:hAnsi="Arial"/>
          <w:sz w:val="22"/>
          <w:szCs w:val="22"/>
        </w:rPr>
        <w:t xml:space="preserve">è </w:t>
      </w:r>
      <w:r>
        <w:rPr>
          <w:rFonts w:ascii="Arial" w:hAnsi="Arial"/>
          <w:sz w:val="22"/>
          <w:szCs w:val="22"/>
        </w:rPr>
        <w:t xml:space="preserve">attiva, ossia interviene sul funzionamento del </w:t>
      </w:r>
      <w:r>
        <w:rPr>
          <w:rFonts w:ascii="Arial" w:hAnsi="Arial"/>
          <w:sz w:val="22"/>
          <w:szCs w:val="22"/>
        </w:rPr>
        <w:t>veicolo e non si limita a monitorarlo. In terzo luogo, quasi tutte le auto sono nodi di una rete locale e tutte le reti sono collegate in Internet, anche con pi</w:t>
      </w:r>
      <w:r>
        <w:rPr>
          <w:rFonts w:ascii="Arial" w:hAnsi="Arial"/>
          <w:sz w:val="22"/>
          <w:szCs w:val="22"/>
        </w:rPr>
        <w:t xml:space="preserve">ù </w:t>
      </w:r>
      <w:r>
        <w:rPr>
          <w:rFonts w:ascii="Arial" w:hAnsi="Arial"/>
          <w:sz w:val="22"/>
          <w:szCs w:val="22"/>
        </w:rPr>
        <w:t>di un punto di accesso al modem cellulare.</w:t>
      </w:r>
    </w:p>
    <w:p w14:paraId="362469D6" w14:textId="77777777" w:rsidR="00B814C0" w:rsidRDefault="00B814C0">
      <w:pPr>
        <w:jc w:val="both"/>
        <w:rPr>
          <w:rFonts w:ascii="Arial" w:eastAsia="Arial" w:hAnsi="Arial" w:cs="Arial"/>
          <w:sz w:val="22"/>
          <w:szCs w:val="22"/>
        </w:rPr>
      </w:pPr>
    </w:p>
    <w:p w14:paraId="60CDF1A9" w14:textId="77777777" w:rsidR="00B814C0" w:rsidRDefault="0077723C">
      <w:pPr>
        <w:jc w:val="both"/>
        <w:rPr>
          <w:rFonts w:ascii="Arial" w:eastAsia="Arial" w:hAnsi="Arial" w:cs="Arial"/>
          <w:sz w:val="22"/>
          <w:szCs w:val="22"/>
        </w:rPr>
      </w:pPr>
      <w:r>
        <w:rPr>
          <w:rFonts w:ascii="Arial" w:hAnsi="Arial"/>
          <w:sz w:val="22"/>
          <w:szCs w:val="22"/>
        </w:rPr>
        <w:t>Oggi e sempre pi</w:t>
      </w:r>
      <w:r>
        <w:rPr>
          <w:rFonts w:ascii="Arial" w:hAnsi="Arial"/>
          <w:sz w:val="22"/>
          <w:szCs w:val="22"/>
        </w:rPr>
        <w:t xml:space="preserve">ù </w:t>
      </w:r>
      <w:r>
        <w:rPr>
          <w:rFonts w:ascii="Arial" w:hAnsi="Arial"/>
          <w:sz w:val="22"/>
          <w:szCs w:val="22"/>
        </w:rPr>
        <w:t>in futuro, un</w:t>
      </w:r>
      <w:r>
        <w:rPr>
          <w:rFonts w:ascii="Arial" w:hAnsi="Arial"/>
          <w:sz w:val="22"/>
          <w:szCs w:val="22"/>
        </w:rPr>
        <w:t>’</w:t>
      </w:r>
      <w:r>
        <w:rPr>
          <w:rFonts w:ascii="Arial" w:hAnsi="Arial"/>
          <w:sz w:val="22"/>
          <w:szCs w:val="22"/>
        </w:rPr>
        <w:t xml:space="preserve">auto </w:t>
      </w:r>
      <w:r>
        <w:rPr>
          <w:rFonts w:ascii="Arial" w:hAnsi="Arial"/>
          <w:sz w:val="22"/>
          <w:szCs w:val="22"/>
        </w:rPr>
        <w:t xml:space="preserve">è </w:t>
      </w:r>
      <w:r>
        <w:rPr>
          <w:rFonts w:ascii="Arial" w:hAnsi="Arial"/>
          <w:sz w:val="22"/>
          <w:szCs w:val="22"/>
        </w:rPr>
        <w:t>un oggetto il cui funzionamento, uso e spesso anche caratteristiche dipendono dal software. I vantaggi sono chiari. Il software ottimizza le prestazioni: ad esempio le auto elettriche senza un sistema digitale di gestione del powertrain e delle batt</w:t>
      </w:r>
      <w:r>
        <w:rPr>
          <w:rFonts w:ascii="Arial" w:hAnsi="Arial"/>
          <w:sz w:val="22"/>
          <w:szCs w:val="22"/>
        </w:rPr>
        <w:t>erie che avrebbero performance incomparabilmente inferiori; mentre quelle tradizionali, senza centinaia di migliaia di linee di codice non potrebbero rispettare i parametri ambientali. Ma l</w:t>
      </w:r>
      <w:r>
        <w:rPr>
          <w:rFonts w:ascii="Arial" w:hAnsi="Arial"/>
          <w:sz w:val="22"/>
          <w:szCs w:val="22"/>
        </w:rPr>
        <w:t>’</w:t>
      </w:r>
      <w:r>
        <w:rPr>
          <w:rFonts w:ascii="Arial" w:hAnsi="Arial"/>
          <w:sz w:val="22"/>
          <w:szCs w:val="22"/>
        </w:rPr>
        <w:t xml:space="preserve">elenco </w:t>
      </w:r>
      <w:r>
        <w:rPr>
          <w:rFonts w:ascii="Arial" w:hAnsi="Arial"/>
          <w:sz w:val="22"/>
          <w:szCs w:val="22"/>
        </w:rPr>
        <w:t xml:space="preserve">è </w:t>
      </w:r>
      <w:r>
        <w:rPr>
          <w:rFonts w:ascii="Arial" w:hAnsi="Arial"/>
          <w:sz w:val="22"/>
          <w:szCs w:val="22"/>
        </w:rPr>
        <w:t>lunghissimo: oggi il software pu</w:t>
      </w:r>
      <w:r>
        <w:rPr>
          <w:rFonts w:ascii="Arial" w:hAnsi="Arial"/>
          <w:sz w:val="22"/>
          <w:szCs w:val="22"/>
        </w:rPr>
        <w:t xml:space="preserve">ò </w:t>
      </w:r>
      <w:r>
        <w:rPr>
          <w:rFonts w:ascii="Arial" w:hAnsi="Arial"/>
          <w:sz w:val="22"/>
          <w:szCs w:val="22"/>
        </w:rPr>
        <w:t xml:space="preserve">modificare i parametri </w:t>
      </w:r>
      <w:r>
        <w:rPr>
          <w:rFonts w:ascii="Arial" w:hAnsi="Arial"/>
          <w:sz w:val="22"/>
          <w:szCs w:val="22"/>
        </w:rPr>
        <w:t>dei sistemi di bordo abitacolo secondo le preferenze di ciascun guidatore (e in certi modelli arriva a riconoscerlo autonomamente). Pu</w:t>
      </w:r>
      <w:r>
        <w:rPr>
          <w:rFonts w:ascii="Arial" w:hAnsi="Arial"/>
          <w:sz w:val="22"/>
          <w:szCs w:val="22"/>
        </w:rPr>
        <w:t xml:space="preserve">ò </w:t>
      </w:r>
      <w:r>
        <w:rPr>
          <w:rFonts w:ascii="Arial" w:hAnsi="Arial"/>
          <w:sz w:val="22"/>
          <w:szCs w:val="22"/>
        </w:rPr>
        <w:t>riconoscere le condizioni ambientali e cambiare assetto e i parametri di accelerazione e frenata. Sulla base dei dati di</w:t>
      </w:r>
      <w:r>
        <w:rPr>
          <w:rFonts w:ascii="Arial" w:hAnsi="Arial"/>
          <w:sz w:val="22"/>
          <w:szCs w:val="22"/>
        </w:rPr>
        <w:t xml:space="preserve"> geolocalizzazione e di quelli di funzionamento (massa e disposizione del carico, velocit</w:t>
      </w:r>
      <w:r>
        <w:rPr>
          <w:rFonts w:ascii="Arial" w:hAnsi="Arial"/>
          <w:sz w:val="22"/>
          <w:szCs w:val="22"/>
        </w:rPr>
        <w:t>à</w:t>
      </w:r>
      <w:r>
        <w:rPr>
          <w:rFonts w:ascii="Arial" w:hAnsi="Arial"/>
          <w:sz w:val="22"/>
          <w:szCs w:val="22"/>
        </w:rPr>
        <w:t>, accelerazione, stato delle gomme e dei freni), nonch</w:t>
      </w:r>
      <w:r>
        <w:rPr>
          <w:rFonts w:ascii="Arial" w:hAnsi="Arial"/>
          <w:sz w:val="22"/>
          <w:szCs w:val="22"/>
        </w:rPr>
        <w:t xml:space="preserve">é </w:t>
      </w:r>
      <w:r>
        <w:rPr>
          <w:rFonts w:ascii="Arial" w:hAnsi="Arial"/>
          <w:sz w:val="22"/>
          <w:szCs w:val="22"/>
        </w:rPr>
        <w:t>dei sensori esterni (video, radar, lidar) delle informazioni di rete (dall</w:t>
      </w:r>
      <w:r>
        <w:rPr>
          <w:rFonts w:ascii="Arial" w:hAnsi="Arial"/>
          <w:sz w:val="22"/>
          <w:szCs w:val="22"/>
        </w:rPr>
        <w:t>’</w:t>
      </w:r>
      <w:r>
        <w:rPr>
          <w:rFonts w:ascii="Arial" w:hAnsi="Arial"/>
          <w:sz w:val="22"/>
          <w:szCs w:val="22"/>
        </w:rPr>
        <w:t xml:space="preserve">infrastruttura e da altri veicoli, </w:t>
      </w:r>
      <w:r>
        <w:rPr>
          <w:rFonts w:ascii="Arial" w:hAnsi="Arial"/>
          <w:sz w:val="22"/>
          <w:szCs w:val="22"/>
        </w:rPr>
        <w:t>V2X) pu</w:t>
      </w:r>
      <w:r>
        <w:rPr>
          <w:rFonts w:ascii="Arial" w:hAnsi="Arial"/>
          <w:sz w:val="22"/>
          <w:szCs w:val="22"/>
        </w:rPr>
        <w:t xml:space="preserve">ò </w:t>
      </w:r>
      <w:r>
        <w:rPr>
          <w:rFonts w:ascii="Arial" w:hAnsi="Arial"/>
          <w:sz w:val="22"/>
          <w:szCs w:val="22"/>
        </w:rPr>
        <w:t>suggerire il migliore comportamento di guida (navigazione predittiva). Gli antifurto digitali e le scatole nere per l</w:t>
      </w:r>
      <w:r>
        <w:rPr>
          <w:rFonts w:ascii="Arial" w:hAnsi="Arial"/>
          <w:sz w:val="22"/>
          <w:szCs w:val="22"/>
        </w:rPr>
        <w:t>’</w:t>
      </w:r>
      <w:r>
        <w:rPr>
          <w:rFonts w:ascii="Arial" w:hAnsi="Arial"/>
          <w:sz w:val="22"/>
          <w:szCs w:val="22"/>
        </w:rPr>
        <w:t>assicurazione dai rischi sono ormai onnipresenti.</w:t>
      </w:r>
    </w:p>
    <w:p w14:paraId="57BCCF5D" w14:textId="77777777" w:rsidR="00B814C0" w:rsidRDefault="00B814C0">
      <w:pPr>
        <w:jc w:val="both"/>
        <w:rPr>
          <w:rFonts w:ascii="Arial" w:eastAsia="Arial" w:hAnsi="Arial" w:cs="Arial"/>
          <w:sz w:val="22"/>
          <w:szCs w:val="22"/>
        </w:rPr>
      </w:pPr>
    </w:p>
    <w:p w14:paraId="26D5B727" w14:textId="77777777" w:rsidR="00B814C0" w:rsidRDefault="0077723C">
      <w:pPr>
        <w:jc w:val="both"/>
        <w:rPr>
          <w:rFonts w:ascii="Arial" w:eastAsia="Arial" w:hAnsi="Arial" w:cs="Arial"/>
          <w:sz w:val="22"/>
          <w:szCs w:val="22"/>
        </w:rPr>
      </w:pPr>
      <w:r>
        <w:rPr>
          <w:rFonts w:ascii="Arial" w:hAnsi="Arial"/>
          <w:sz w:val="22"/>
          <w:szCs w:val="22"/>
        </w:rPr>
        <w:t>Via software si possono anche controllare le caratteristiche d</w:t>
      </w:r>
      <w:r>
        <w:rPr>
          <w:rFonts w:ascii="Arial" w:hAnsi="Arial"/>
          <w:sz w:val="22"/>
          <w:szCs w:val="22"/>
        </w:rPr>
        <w:t>i un</w:t>
      </w:r>
      <w:r>
        <w:rPr>
          <w:rFonts w:ascii="Arial" w:hAnsi="Arial"/>
          <w:sz w:val="22"/>
          <w:szCs w:val="22"/>
        </w:rPr>
        <w:t>’</w:t>
      </w:r>
      <w:r>
        <w:rPr>
          <w:rFonts w:ascii="Arial" w:hAnsi="Arial"/>
          <w:sz w:val="22"/>
          <w:szCs w:val="22"/>
        </w:rPr>
        <w:t>auto. E se l</w:t>
      </w:r>
      <w:r>
        <w:rPr>
          <w:rFonts w:ascii="Arial" w:hAnsi="Arial"/>
          <w:sz w:val="22"/>
          <w:szCs w:val="22"/>
        </w:rPr>
        <w:t>’</w:t>
      </w:r>
      <w:r>
        <w:rPr>
          <w:rFonts w:ascii="Arial" w:hAnsi="Arial"/>
          <w:sz w:val="22"/>
          <w:szCs w:val="22"/>
        </w:rPr>
        <w:t xml:space="preserve">auto </w:t>
      </w:r>
      <w:r>
        <w:rPr>
          <w:rFonts w:ascii="Arial" w:hAnsi="Arial"/>
          <w:sz w:val="22"/>
          <w:szCs w:val="22"/>
        </w:rPr>
        <w:t xml:space="preserve">è </w:t>
      </w:r>
      <w:r>
        <w:rPr>
          <w:rFonts w:ascii="Arial" w:hAnsi="Arial"/>
          <w:sz w:val="22"/>
          <w:szCs w:val="22"/>
        </w:rPr>
        <w:t xml:space="preserve">elettrica, il controllo </w:t>
      </w:r>
      <w:r>
        <w:rPr>
          <w:rFonts w:ascii="Arial" w:hAnsi="Arial"/>
          <w:sz w:val="22"/>
          <w:szCs w:val="22"/>
        </w:rPr>
        <w:t xml:space="preserve">è </w:t>
      </w:r>
      <w:r>
        <w:rPr>
          <w:rFonts w:ascii="Arial" w:hAnsi="Arial"/>
          <w:sz w:val="22"/>
          <w:szCs w:val="22"/>
        </w:rPr>
        <w:t>assoluto. In questo modo un costruttore pu</w:t>
      </w:r>
      <w:r>
        <w:rPr>
          <w:rFonts w:ascii="Arial" w:hAnsi="Arial"/>
          <w:sz w:val="22"/>
          <w:szCs w:val="22"/>
        </w:rPr>
        <w:t xml:space="preserve">ò </w:t>
      </w:r>
      <w:r>
        <w:rPr>
          <w:rFonts w:ascii="Arial" w:hAnsi="Arial"/>
          <w:sz w:val="22"/>
          <w:szCs w:val="22"/>
        </w:rPr>
        <w:t>produrre un solo modello a livello industriale e semplicemente intervenire sul software per poi differenziarlo con evidenti benefici sui costi. Diventa possibile</w:t>
      </w:r>
      <w:r>
        <w:rPr>
          <w:rFonts w:ascii="Arial" w:hAnsi="Arial"/>
          <w:sz w:val="22"/>
          <w:szCs w:val="22"/>
        </w:rPr>
        <w:t xml:space="preserve"> acquistare potenza ulteriore o anche maggiore autonomia pagando l</w:t>
      </w:r>
      <w:r>
        <w:rPr>
          <w:rFonts w:ascii="Arial" w:hAnsi="Arial"/>
          <w:sz w:val="22"/>
          <w:szCs w:val="22"/>
        </w:rPr>
        <w:t>’</w:t>
      </w:r>
      <w:r>
        <w:rPr>
          <w:rFonts w:ascii="Arial" w:hAnsi="Arial"/>
          <w:sz w:val="22"/>
          <w:szCs w:val="22"/>
        </w:rPr>
        <w:t>upgrade, persino sotto forma di abbonamento. Se si rinuncia o non si paga, le prestazioni ritornano quelle basic. Lo stesso pu</w:t>
      </w:r>
      <w:r>
        <w:rPr>
          <w:rFonts w:ascii="Arial" w:hAnsi="Arial"/>
          <w:sz w:val="22"/>
          <w:szCs w:val="22"/>
        </w:rPr>
        <w:t xml:space="preserve">ò </w:t>
      </w:r>
      <w:r>
        <w:rPr>
          <w:rFonts w:ascii="Arial" w:hAnsi="Arial"/>
          <w:sz w:val="22"/>
          <w:szCs w:val="22"/>
        </w:rPr>
        <w:t>avvenire per esempio per l</w:t>
      </w:r>
      <w:r>
        <w:rPr>
          <w:rFonts w:ascii="Arial" w:hAnsi="Arial"/>
          <w:sz w:val="22"/>
          <w:szCs w:val="22"/>
        </w:rPr>
        <w:t>’</w:t>
      </w:r>
      <w:r>
        <w:rPr>
          <w:rFonts w:ascii="Arial" w:hAnsi="Arial"/>
          <w:sz w:val="22"/>
          <w:szCs w:val="22"/>
        </w:rPr>
        <w:t>accesso a funzioni di ausilio alla</w:t>
      </w:r>
      <w:r>
        <w:rPr>
          <w:rFonts w:ascii="Arial" w:hAnsi="Arial"/>
          <w:sz w:val="22"/>
          <w:szCs w:val="22"/>
        </w:rPr>
        <w:t xml:space="preserve"> guida o di guida autonoma. </w:t>
      </w:r>
    </w:p>
    <w:p w14:paraId="6FE017F3" w14:textId="2F29C74A" w:rsidR="00B814C0" w:rsidRDefault="0077723C">
      <w:pPr>
        <w:jc w:val="both"/>
        <w:rPr>
          <w:rFonts w:ascii="Arial" w:eastAsia="Arial" w:hAnsi="Arial" w:cs="Arial"/>
          <w:sz w:val="22"/>
          <w:szCs w:val="22"/>
        </w:rPr>
      </w:pPr>
      <w:r>
        <w:rPr>
          <w:rFonts w:ascii="Arial" w:hAnsi="Arial"/>
          <w:sz w:val="22"/>
          <w:szCs w:val="22"/>
        </w:rPr>
        <w:lastRenderedPageBreak/>
        <w:t>Ma le possibilit</w:t>
      </w:r>
      <w:r>
        <w:rPr>
          <w:rFonts w:ascii="Arial" w:hAnsi="Arial"/>
          <w:sz w:val="22"/>
          <w:szCs w:val="22"/>
        </w:rPr>
        <w:t xml:space="preserve">à </w:t>
      </w:r>
      <w:r>
        <w:rPr>
          <w:rFonts w:ascii="Arial" w:hAnsi="Arial"/>
          <w:sz w:val="22"/>
          <w:szCs w:val="22"/>
        </w:rPr>
        <w:t>sono molte di pi</w:t>
      </w:r>
      <w:r>
        <w:rPr>
          <w:rFonts w:ascii="Arial" w:hAnsi="Arial"/>
          <w:sz w:val="22"/>
          <w:szCs w:val="22"/>
        </w:rPr>
        <w:t>ù</w:t>
      </w:r>
      <w:r>
        <w:rPr>
          <w:rFonts w:ascii="Arial" w:hAnsi="Arial"/>
          <w:sz w:val="22"/>
          <w:szCs w:val="22"/>
        </w:rPr>
        <w:t xml:space="preserve">, </w:t>
      </w:r>
      <w:r w:rsidRPr="008E3DD3">
        <w:rPr>
          <w:rFonts w:ascii="Arial" w:hAnsi="Arial"/>
          <w:sz w:val="22"/>
          <w:szCs w:val="22"/>
        </w:rPr>
        <w:t>speci</w:t>
      </w:r>
      <w:r w:rsidR="008E3DD3">
        <w:rPr>
          <w:rFonts w:ascii="Arial" w:hAnsi="Arial"/>
          <w:sz w:val="22"/>
          <w:szCs w:val="22"/>
        </w:rPr>
        <w:t xml:space="preserve">e </w:t>
      </w:r>
      <w:r w:rsidR="008E3DD3" w:rsidRPr="008E3DD3">
        <w:rPr>
          <w:rFonts w:ascii="Arial" w:hAnsi="Arial"/>
          <w:sz w:val="22"/>
          <w:szCs w:val="22"/>
        </w:rPr>
        <w:t>considerando la sempre più alta</w:t>
      </w:r>
      <w:r w:rsidR="008E3DD3">
        <w:rPr>
          <w:rFonts w:ascii="Arial" w:hAnsi="Arial"/>
          <w:sz w:val="22"/>
          <w:szCs w:val="22"/>
        </w:rPr>
        <w:t xml:space="preserve"> </w:t>
      </w:r>
      <w:r w:rsidRPr="008E3DD3">
        <w:rPr>
          <w:rFonts w:ascii="Arial" w:hAnsi="Arial"/>
          <w:sz w:val="22"/>
          <w:szCs w:val="22"/>
        </w:rPr>
        <w:t>percentuale</w:t>
      </w:r>
      <w:r>
        <w:rPr>
          <w:rFonts w:ascii="Arial" w:hAnsi="Arial"/>
          <w:sz w:val="22"/>
          <w:szCs w:val="22"/>
        </w:rPr>
        <w:t xml:space="preserve"> di accesso all</w:t>
      </w:r>
      <w:r>
        <w:rPr>
          <w:rFonts w:ascii="Arial" w:hAnsi="Arial"/>
          <w:sz w:val="22"/>
          <w:szCs w:val="22"/>
        </w:rPr>
        <w:t>’</w:t>
      </w:r>
      <w:r>
        <w:rPr>
          <w:rFonts w:ascii="Arial" w:hAnsi="Arial"/>
          <w:sz w:val="22"/>
          <w:szCs w:val="22"/>
        </w:rPr>
        <w:t>uso dell</w:t>
      </w:r>
      <w:r>
        <w:rPr>
          <w:rFonts w:ascii="Arial" w:hAnsi="Arial"/>
          <w:sz w:val="22"/>
          <w:szCs w:val="22"/>
        </w:rPr>
        <w:t>’</w:t>
      </w:r>
      <w:r>
        <w:rPr>
          <w:rFonts w:ascii="Arial" w:hAnsi="Arial"/>
          <w:sz w:val="22"/>
          <w:szCs w:val="22"/>
        </w:rPr>
        <w:t>auto in forma diversa dalla propriet</w:t>
      </w:r>
      <w:r>
        <w:rPr>
          <w:rFonts w:ascii="Arial" w:hAnsi="Arial"/>
          <w:sz w:val="22"/>
          <w:szCs w:val="22"/>
        </w:rPr>
        <w:t>à</w:t>
      </w:r>
      <w:r>
        <w:rPr>
          <w:rFonts w:ascii="Arial" w:hAnsi="Arial"/>
          <w:sz w:val="22"/>
          <w:szCs w:val="22"/>
        </w:rPr>
        <w:t xml:space="preserve">. Pensiamo a un contratto di </w:t>
      </w:r>
      <w:r>
        <w:rPr>
          <w:rFonts w:ascii="Arial" w:hAnsi="Arial"/>
          <w:sz w:val="22"/>
          <w:szCs w:val="22"/>
        </w:rPr>
        <w:t>noleggio a lungo termine che non preveda l</w:t>
      </w:r>
      <w:r>
        <w:rPr>
          <w:rFonts w:ascii="Arial" w:hAnsi="Arial"/>
          <w:sz w:val="22"/>
          <w:szCs w:val="22"/>
        </w:rPr>
        <w:t>’</w:t>
      </w:r>
      <w:r>
        <w:rPr>
          <w:rFonts w:ascii="Arial" w:hAnsi="Arial"/>
          <w:sz w:val="22"/>
          <w:szCs w:val="22"/>
        </w:rPr>
        <w:t>uscita da un determinato territorio. Con un</w:t>
      </w:r>
      <w:r>
        <w:rPr>
          <w:rFonts w:ascii="Arial" w:hAnsi="Arial"/>
          <w:sz w:val="22"/>
          <w:szCs w:val="22"/>
        </w:rPr>
        <w:t>’</w:t>
      </w:r>
      <w:r>
        <w:rPr>
          <w:rFonts w:ascii="Arial" w:hAnsi="Arial"/>
          <w:sz w:val="22"/>
          <w:szCs w:val="22"/>
        </w:rPr>
        <w:t xml:space="preserve">auto digitale diventa banale un geofencing </w:t>
      </w:r>
      <w:r>
        <w:rPr>
          <w:rFonts w:ascii="Arial" w:hAnsi="Arial"/>
          <w:sz w:val="22"/>
          <w:szCs w:val="22"/>
        </w:rPr>
        <w:t>“</w:t>
      </w:r>
      <w:r>
        <w:rPr>
          <w:rFonts w:ascii="Arial" w:hAnsi="Arial"/>
          <w:sz w:val="22"/>
          <w:szCs w:val="22"/>
        </w:rPr>
        <w:t>hard</w:t>
      </w:r>
      <w:r>
        <w:rPr>
          <w:rFonts w:ascii="Arial" w:hAnsi="Arial"/>
          <w:sz w:val="22"/>
          <w:szCs w:val="22"/>
        </w:rPr>
        <w:t>”</w:t>
      </w:r>
      <w:r>
        <w:rPr>
          <w:rFonts w:ascii="Arial" w:hAnsi="Arial"/>
          <w:sz w:val="22"/>
          <w:szCs w:val="22"/>
        </w:rPr>
        <w:t>, ossia l</w:t>
      </w:r>
      <w:r>
        <w:rPr>
          <w:rFonts w:ascii="Arial" w:hAnsi="Arial"/>
          <w:sz w:val="22"/>
          <w:szCs w:val="22"/>
        </w:rPr>
        <w:t>’</w:t>
      </w:r>
      <w:r>
        <w:rPr>
          <w:rFonts w:ascii="Arial" w:hAnsi="Arial"/>
          <w:sz w:val="22"/>
          <w:szCs w:val="22"/>
        </w:rPr>
        <w:t xml:space="preserve">auto si ferma o degrada molto le proprie prestazioni, se si cerca di superare un certo confine. Un geofencing </w:t>
      </w:r>
      <w:r>
        <w:rPr>
          <w:rFonts w:ascii="Arial" w:hAnsi="Arial"/>
          <w:sz w:val="22"/>
          <w:szCs w:val="22"/>
        </w:rPr>
        <w:t>“</w:t>
      </w:r>
      <w:r>
        <w:rPr>
          <w:rFonts w:ascii="Arial" w:hAnsi="Arial"/>
          <w:sz w:val="22"/>
          <w:szCs w:val="22"/>
        </w:rPr>
        <w:t>soft</w:t>
      </w:r>
      <w:r>
        <w:rPr>
          <w:rFonts w:ascii="Arial" w:hAnsi="Arial"/>
          <w:sz w:val="22"/>
          <w:szCs w:val="22"/>
        </w:rPr>
        <w:t xml:space="preserve">” </w:t>
      </w:r>
      <w:r>
        <w:rPr>
          <w:rFonts w:ascii="Arial" w:hAnsi="Arial"/>
          <w:sz w:val="22"/>
          <w:szCs w:val="22"/>
        </w:rPr>
        <w:t>pu</w:t>
      </w:r>
      <w:r>
        <w:rPr>
          <w:rFonts w:ascii="Arial" w:hAnsi="Arial"/>
          <w:sz w:val="22"/>
          <w:szCs w:val="22"/>
        </w:rPr>
        <w:t xml:space="preserve">ò </w:t>
      </w:r>
      <w:r>
        <w:rPr>
          <w:rFonts w:ascii="Arial" w:hAnsi="Arial"/>
          <w:sz w:val="22"/>
          <w:szCs w:val="22"/>
        </w:rPr>
        <w:t>invece eliminare i caselli autostradali (ma permettere anche di introdurre pedaggi ovunque, per esempio su un ponte, senza i problemi di ostruzione del traffico che queste pensate comportano, e limitano). Per non parlare delle varie Zone B, C, Z</w:t>
      </w:r>
      <w:r>
        <w:rPr>
          <w:rFonts w:ascii="Arial" w:hAnsi="Arial"/>
          <w:sz w:val="22"/>
          <w:szCs w:val="22"/>
        </w:rPr>
        <w:t xml:space="preserve">tl.  </w:t>
      </w:r>
    </w:p>
    <w:p w14:paraId="0303C73F" w14:textId="77777777" w:rsidR="00B814C0" w:rsidRDefault="00B814C0">
      <w:pPr>
        <w:jc w:val="both"/>
        <w:rPr>
          <w:rFonts w:ascii="Arial" w:eastAsia="Arial" w:hAnsi="Arial" w:cs="Arial"/>
          <w:sz w:val="22"/>
          <w:szCs w:val="22"/>
        </w:rPr>
      </w:pPr>
    </w:p>
    <w:p w14:paraId="42FF5E6E" w14:textId="77777777" w:rsidR="00B814C0" w:rsidRDefault="0077723C">
      <w:pPr>
        <w:jc w:val="both"/>
        <w:rPr>
          <w:rFonts w:ascii="Arial" w:eastAsia="Arial" w:hAnsi="Arial" w:cs="Arial"/>
          <w:sz w:val="22"/>
          <w:szCs w:val="22"/>
        </w:rPr>
      </w:pPr>
      <w:r>
        <w:rPr>
          <w:rFonts w:ascii="Arial" w:hAnsi="Arial"/>
          <w:sz w:val="22"/>
          <w:szCs w:val="22"/>
        </w:rPr>
        <w:t xml:space="preserve">Sul fronte manutenzione, la digitalizzazione fornisce strumenti formidabili di diagnostica, ma anche di </w:t>
      </w:r>
      <w:r>
        <w:rPr>
          <w:rFonts w:ascii="Arial" w:hAnsi="Arial"/>
          <w:sz w:val="22"/>
          <w:szCs w:val="22"/>
        </w:rPr>
        <w:t>“</w:t>
      </w:r>
      <w:r>
        <w:rPr>
          <w:rFonts w:ascii="Arial" w:hAnsi="Arial"/>
          <w:sz w:val="22"/>
          <w:szCs w:val="22"/>
        </w:rPr>
        <w:t>selezione</w:t>
      </w:r>
      <w:r>
        <w:rPr>
          <w:rFonts w:ascii="Arial" w:hAnsi="Arial"/>
          <w:sz w:val="22"/>
          <w:szCs w:val="22"/>
        </w:rPr>
        <w:t xml:space="preserve">” </w:t>
      </w:r>
      <w:r>
        <w:rPr>
          <w:rFonts w:ascii="Arial" w:hAnsi="Arial"/>
          <w:sz w:val="22"/>
          <w:szCs w:val="22"/>
        </w:rPr>
        <w:t xml:space="preserve">delle officine e di aumento del fatturato e dei profitti aftermarket da parte delle Case automobilistiche a discapito di meccanici e </w:t>
      </w:r>
      <w:r>
        <w:rPr>
          <w:rFonts w:ascii="Arial" w:hAnsi="Arial"/>
          <w:sz w:val="22"/>
          <w:szCs w:val="22"/>
        </w:rPr>
        <w:t xml:space="preserve">carrozzieri indipendenti. </w:t>
      </w:r>
    </w:p>
    <w:p w14:paraId="59D671B0" w14:textId="77777777" w:rsidR="00B814C0" w:rsidRDefault="00B814C0">
      <w:pPr>
        <w:jc w:val="both"/>
        <w:rPr>
          <w:rFonts w:ascii="Arial" w:eastAsia="Arial" w:hAnsi="Arial" w:cs="Arial"/>
          <w:sz w:val="22"/>
          <w:szCs w:val="22"/>
        </w:rPr>
      </w:pPr>
    </w:p>
    <w:p w14:paraId="12D4419C" w14:textId="77777777" w:rsidR="00B814C0" w:rsidRDefault="0077723C">
      <w:pPr>
        <w:jc w:val="both"/>
        <w:rPr>
          <w:rFonts w:ascii="Arial" w:eastAsia="Arial" w:hAnsi="Arial" w:cs="Arial"/>
          <w:sz w:val="22"/>
          <w:szCs w:val="22"/>
        </w:rPr>
      </w:pPr>
      <w:r>
        <w:rPr>
          <w:rFonts w:ascii="Arial" w:hAnsi="Arial"/>
          <w:sz w:val="22"/>
          <w:szCs w:val="22"/>
        </w:rPr>
        <w:t>A Next Generation Mobility interverr</w:t>
      </w:r>
      <w:r>
        <w:rPr>
          <w:rFonts w:ascii="Arial" w:hAnsi="Arial"/>
          <w:sz w:val="22"/>
          <w:szCs w:val="22"/>
        </w:rPr>
        <w:t xml:space="preserve">à </w:t>
      </w:r>
      <w:r>
        <w:rPr>
          <w:rFonts w:ascii="Arial" w:hAnsi="Arial"/>
          <w:sz w:val="22"/>
          <w:szCs w:val="22"/>
        </w:rPr>
        <w:t>Davide Galli, Presidente di Federcarrozzieri, in rappresentanza delle officine indipendenti, che racconter</w:t>
      </w:r>
      <w:r>
        <w:rPr>
          <w:rFonts w:ascii="Arial" w:hAnsi="Arial"/>
          <w:sz w:val="22"/>
          <w:szCs w:val="22"/>
        </w:rPr>
        <w:t xml:space="preserve">à </w:t>
      </w:r>
      <w:r>
        <w:rPr>
          <w:rFonts w:ascii="Arial" w:hAnsi="Arial"/>
          <w:sz w:val="22"/>
          <w:szCs w:val="22"/>
        </w:rPr>
        <w:t>come oggi la tecnologia in mano alle Case possa ostacolare l</w:t>
      </w:r>
      <w:r>
        <w:rPr>
          <w:rFonts w:ascii="Arial" w:hAnsi="Arial"/>
          <w:sz w:val="22"/>
          <w:szCs w:val="22"/>
        </w:rPr>
        <w:t>’</w:t>
      </w:r>
      <w:r>
        <w:rPr>
          <w:rFonts w:ascii="Arial" w:hAnsi="Arial"/>
          <w:sz w:val="22"/>
          <w:szCs w:val="22"/>
        </w:rPr>
        <w:t>intero settore se non</w:t>
      </w:r>
      <w:r>
        <w:rPr>
          <w:rFonts w:ascii="Arial" w:hAnsi="Arial"/>
          <w:sz w:val="22"/>
          <w:szCs w:val="22"/>
        </w:rPr>
        <w:t xml:space="preserve"> fosse regolamentata dalla legge e dai diritti. In primis il </w:t>
      </w:r>
      <w:r>
        <w:rPr>
          <w:rFonts w:ascii="Arial" w:hAnsi="Arial"/>
          <w:sz w:val="22"/>
          <w:szCs w:val="22"/>
        </w:rPr>
        <w:t>“</w:t>
      </w:r>
      <w:r>
        <w:rPr>
          <w:rFonts w:ascii="Arial" w:hAnsi="Arial"/>
          <w:sz w:val="22"/>
          <w:szCs w:val="22"/>
        </w:rPr>
        <w:t>diritto alla riparazione</w:t>
      </w:r>
      <w:r>
        <w:rPr>
          <w:rFonts w:ascii="Arial" w:hAnsi="Arial"/>
          <w:sz w:val="22"/>
          <w:szCs w:val="22"/>
        </w:rPr>
        <w:t xml:space="preserve">” </w:t>
      </w:r>
      <w:r>
        <w:rPr>
          <w:rFonts w:ascii="Arial" w:hAnsi="Arial"/>
          <w:sz w:val="22"/>
          <w:szCs w:val="22"/>
        </w:rPr>
        <w:t>entrato in vigore nell</w:t>
      </w:r>
      <w:r>
        <w:rPr>
          <w:rFonts w:ascii="Arial" w:hAnsi="Arial"/>
          <w:sz w:val="22"/>
          <w:szCs w:val="22"/>
        </w:rPr>
        <w:t>’</w:t>
      </w:r>
      <w:r>
        <w:rPr>
          <w:rFonts w:ascii="Arial" w:hAnsi="Arial"/>
          <w:sz w:val="22"/>
          <w:szCs w:val="22"/>
        </w:rPr>
        <w:t>UE a marzo 2021. L</w:t>
      </w:r>
      <w:r>
        <w:rPr>
          <w:rFonts w:ascii="Arial" w:hAnsi="Arial"/>
          <w:sz w:val="22"/>
          <w:szCs w:val="22"/>
        </w:rPr>
        <w:t>’</w:t>
      </w:r>
      <w:r>
        <w:rPr>
          <w:rFonts w:ascii="Arial" w:hAnsi="Arial"/>
          <w:sz w:val="22"/>
          <w:szCs w:val="22"/>
        </w:rPr>
        <w:t>ultima strategia delle Case, l</w:t>
      </w:r>
      <w:r>
        <w:rPr>
          <w:rFonts w:ascii="Arial" w:hAnsi="Arial"/>
          <w:sz w:val="22"/>
          <w:szCs w:val="22"/>
        </w:rPr>
        <w:t>’</w:t>
      </w:r>
      <w:r>
        <w:rPr>
          <w:rFonts w:ascii="Arial" w:hAnsi="Arial"/>
          <w:sz w:val="22"/>
          <w:szCs w:val="22"/>
        </w:rPr>
        <w:t>accesso solo wireless ai dati del veicolo per aggirare l</w:t>
      </w:r>
      <w:r>
        <w:rPr>
          <w:rFonts w:ascii="Arial" w:hAnsi="Arial"/>
          <w:sz w:val="22"/>
          <w:szCs w:val="22"/>
        </w:rPr>
        <w:t>’</w:t>
      </w:r>
      <w:r>
        <w:rPr>
          <w:rFonts w:ascii="Arial" w:hAnsi="Arial"/>
          <w:sz w:val="22"/>
          <w:szCs w:val="22"/>
        </w:rPr>
        <w:t>obbligo di connettore standard della d</w:t>
      </w:r>
      <w:r>
        <w:rPr>
          <w:rFonts w:ascii="Arial" w:hAnsi="Arial"/>
          <w:sz w:val="22"/>
          <w:szCs w:val="22"/>
        </w:rPr>
        <w:t xml:space="preserve">iagnostica. Un noto produttore di computer e di smartphone ha fatto e fa da apripista in questo ambito. </w:t>
      </w:r>
    </w:p>
    <w:p w14:paraId="73E5BAE3" w14:textId="77777777" w:rsidR="00B814C0" w:rsidRDefault="00B814C0">
      <w:pPr>
        <w:jc w:val="both"/>
        <w:rPr>
          <w:rFonts w:ascii="Arial" w:eastAsia="Arial" w:hAnsi="Arial" w:cs="Arial"/>
          <w:sz w:val="22"/>
          <w:szCs w:val="22"/>
        </w:rPr>
      </w:pPr>
    </w:p>
    <w:p w14:paraId="4F3F7FAA" w14:textId="77777777" w:rsidR="00B814C0" w:rsidRDefault="0077723C">
      <w:pPr>
        <w:jc w:val="both"/>
        <w:rPr>
          <w:rFonts w:ascii="Arial" w:eastAsia="Arial" w:hAnsi="Arial" w:cs="Arial"/>
          <w:sz w:val="22"/>
          <w:szCs w:val="22"/>
        </w:rPr>
      </w:pPr>
      <w:r>
        <w:rPr>
          <w:rFonts w:ascii="Arial" w:hAnsi="Arial"/>
          <w:sz w:val="22"/>
          <w:szCs w:val="22"/>
        </w:rPr>
        <w:t>Un</w:t>
      </w:r>
      <w:r>
        <w:rPr>
          <w:rFonts w:ascii="Arial" w:hAnsi="Arial"/>
          <w:sz w:val="22"/>
          <w:szCs w:val="22"/>
        </w:rPr>
        <w:t>’</w:t>
      </w:r>
      <w:r>
        <w:rPr>
          <w:rFonts w:ascii="Arial" w:hAnsi="Arial"/>
          <w:sz w:val="22"/>
          <w:szCs w:val="22"/>
        </w:rPr>
        <w:t>auto digitale, per di pi</w:t>
      </w:r>
      <w:r>
        <w:rPr>
          <w:rFonts w:ascii="Arial" w:hAnsi="Arial"/>
          <w:sz w:val="22"/>
          <w:szCs w:val="22"/>
        </w:rPr>
        <w:t xml:space="preserve">ù </w:t>
      </w:r>
      <w:r>
        <w:rPr>
          <w:rFonts w:ascii="Arial" w:hAnsi="Arial"/>
          <w:sz w:val="22"/>
          <w:szCs w:val="22"/>
        </w:rPr>
        <w:t>connessa in continuo, incontra gli stessi problemi di un computer, in primis la sicurezza. Con l</w:t>
      </w:r>
      <w:r>
        <w:rPr>
          <w:rFonts w:ascii="Arial" w:hAnsi="Arial"/>
          <w:sz w:val="22"/>
          <w:szCs w:val="22"/>
        </w:rPr>
        <w:t>’</w:t>
      </w:r>
      <w:r>
        <w:rPr>
          <w:rFonts w:ascii="Arial" w:hAnsi="Arial"/>
          <w:sz w:val="22"/>
          <w:szCs w:val="22"/>
        </w:rPr>
        <w:t>introduzione di nuove te</w:t>
      </w:r>
      <w:r>
        <w:rPr>
          <w:rFonts w:ascii="Arial" w:hAnsi="Arial"/>
          <w:sz w:val="22"/>
          <w:szCs w:val="22"/>
        </w:rPr>
        <w:t>cnologie e parametri, che vanno sotto la definizione di metamobilit</w:t>
      </w:r>
      <w:r>
        <w:rPr>
          <w:rFonts w:ascii="Arial" w:hAnsi="Arial"/>
          <w:sz w:val="22"/>
          <w:szCs w:val="22"/>
        </w:rPr>
        <w:t>à</w:t>
      </w:r>
      <w:r>
        <w:rPr>
          <w:rFonts w:ascii="Arial" w:hAnsi="Arial"/>
          <w:sz w:val="22"/>
          <w:szCs w:val="22"/>
        </w:rPr>
        <w:t>, la garanzia di sicurezza dei dati deve essere ancora pi</w:t>
      </w:r>
      <w:r>
        <w:rPr>
          <w:rFonts w:ascii="Arial" w:hAnsi="Arial"/>
          <w:sz w:val="22"/>
          <w:szCs w:val="22"/>
        </w:rPr>
        <w:t xml:space="preserve">ù </w:t>
      </w:r>
      <w:r>
        <w:rPr>
          <w:rFonts w:ascii="Arial" w:hAnsi="Arial"/>
          <w:sz w:val="22"/>
          <w:szCs w:val="22"/>
        </w:rPr>
        <w:t>stringente. La combinazione di sensori sempre pi</w:t>
      </w:r>
      <w:r>
        <w:rPr>
          <w:rFonts w:ascii="Arial" w:hAnsi="Arial"/>
          <w:sz w:val="22"/>
          <w:szCs w:val="22"/>
        </w:rPr>
        <w:t xml:space="preserve">ù </w:t>
      </w:r>
      <w:r>
        <w:rPr>
          <w:rFonts w:ascii="Arial" w:hAnsi="Arial"/>
          <w:sz w:val="22"/>
          <w:szCs w:val="22"/>
        </w:rPr>
        <w:t>precisi e diffusi sulle auto, con la crescente potenza di calcolo di bordo (anc</w:t>
      </w:r>
      <w:r>
        <w:rPr>
          <w:rFonts w:ascii="Arial" w:hAnsi="Arial"/>
          <w:sz w:val="22"/>
          <w:szCs w:val="22"/>
        </w:rPr>
        <w:t>he grazie all</w:t>
      </w:r>
      <w:r>
        <w:rPr>
          <w:rFonts w:ascii="Arial" w:hAnsi="Arial"/>
          <w:sz w:val="22"/>
          <w:szCs w:val="22"/>
        </w:rPr>
        <w:t>’</w:t>
      </w:r>
      <w:r>
        <w:rPr>
          <w:rFonts w:ascii="Arial" w:hAnsi="Arial"/>
          <w:sz w:val="22"/>
          <w:szCs w:val="22"/>
        </w:rPr>
        <w:t>applicazione dei concetti di edge computing) e connessioni wireless in banda larga e bassissima latenza (leggasi 5G) trasformano le auto in centri di raccolta di dati e informazioni sul mondo esterno. A NGM verranno presentate due applicazion</w:t>
      </w:r>
      <w:r>
        <w:rPr>
          <w:rFonts w:ascii="Arial" w:hAnsi="Arial"/>
          <w:sz w:val="22"/>
          <w:szCs w:val="22"/>
        </w:rPr>
        <w:t>i che utilizzano le telecamere di bordo per identificare il degrado del manto stradale e avvertire chi di dovere. Questo avviene senza che il guidatore non solo debba dare l</w:t>
      </w:r>
      <w:r>
        <w:rPr>
          <w:rFonts w:ascii="Arial" w:hAnsi="Arial"/>
          <w:sz w:val="22"/>
          <w:szCs w:val="22"/>
        </w:rPr>
        <w:t>’</w:t>
      </w:r>
      <w:r>
        <w:rPr>
          <w:rFonts w:ascii="Arial" w:hAnsi="Arial"/>
          <w:sz w:val="22"/>
          <w:szCs w:val="22"/>
        </w:rPr>
        <w:t xml:space="preserve">autorizzazione ma nemmeno ne sia consapevole. Un noleggiatore a lungo, ma </w:t>
      </w:r>
      <w:r>
        <w:rPr>
          <w:rFonts w:ascii="Arial" w:hAnsi="Arial"/>
          <w:sz w:val="22"/>
          <w:szCs w:val="22"/>
        </w:rPr>
        <w:t>anche a medio, breve o brevissimo termine (sharing) potrebbe stringere accordi per la fornitura di questo tipo di informazioni con un</w:t>
      </w:r>
      <w:r>
        <w:rPr>
          <w:rFonts w:ascii="Arial" w:hAnsi="Arial"/>
          <w:sz w:val="22"/>
          <w:szCs w:val="22"/>
        </w:rPr>
        <w:t>’</w:t>
      </w:r>
      <w:r>
        <w:rPr>
          <w:rFonts w:ascii="Arial" w:hAnsi="Arial"/>
          <w:sz w:val="22"/>
          <w:szCs w:val="22"/>
        </w:rPr>
        <w:t>amministrazione comunale o regionale. Anche un trasportatore con centinaia o migliaia di autocarri potrebbe fare lo stesso</w:t>
      </w:r>
      <w:r>
        <w:rPr>
          <w:rFonts w:ascii="Arial" w:hAnsi="Arial"/>
          <w:sz w:val="22"/>
          <w:szCs w:val="22"/>
        </w:rPr>
        <w:t xml:space="preserve">, magari con un gestore autostradale. Non solo, il punto debole delle applicazioni di informazioni sul traffico verrebbe eliminato di colpo, andando ben oltre quello che fa Google, per esempio, basandosi sui dati aggregati di navigazione. </w:t>
      </w:r>
    </w:p>
    <w:p w14:paraId="5211777F" w14:textId="77777777" w:rsidR="00B814C0" w:rsidRDefault="00B814C0">
      <w:pPr>
        <w:jc w:val="both"/>
        <w:rPr>
          <w:rFonts w:ascii="Arial" w:eastAsia="Arial" w:hAnsi="Arial" w:cs="Arial"/>
          <w:sz w:val="22"/>
          <w:szCs w:val="22"/>
        </w:rPr>
      </w:pPr>
    </w:p>
    <w:p w14:paraId="03221BB5" w14:textId="77777777" w:rsidR="00B814C0" w:rsidRDefault="0077723C">
      <w:pPr>
        <w:jc w:val="both"/>
        <w:rPr>
          <w:rFonts w:ascii="Arial" w:eastAsia="Arial" w:hAnsi="Arial" w:cs="Arial"/>
          <w:sz w:val="22"/>
          <w:szCs w:val="22"/>
        </w:rPr>
      </w:pPr>
      <w:r>
        <w:rPr>
          <w:rFonts w:ascii="Arial" w:hAnsi="Arial"/>
          <w:sz w:val="22"/>
          <w:szCs w:val="22"/>
        </w:rPr>
        <w:t>Nell</w:t>
      </w:r>
      <w:r>
        <w:rPr>
          <w:rFonts w:ascii="Arial" w:hAnsi="Arial"/>
          <w:sz w:val="22"/>
          <w:szCs w:val="22"/>
        </w:rPr>
        <w:t>’</w:t>
      </w:r>
      <w:r>
        <w:rPr>
          <w:rFonts w:ascii="Arial" w:hAnsi="Arial"/>
          <w:sz w:val="22"/>
          <w:szCs w:val="22"/>
        </w:rPr>
        <w:t xml:space="preserve">immediato </w:t>
      </w:r>
      <w:r>
        <w:rPr>
          <w:rFonts w:ascii="Arial" w:hAnsi="Arial"/>
          <w:sz w:val="22"/>
          <w:szCs w:val="22"/>
        </w:rPr>
        <w:t>si tratta di tutti lati luminosi, ma le implicazioni per la privacy o le possibilit</w:t>
      </w:r>
      <w:r>
        <w:rPr>
          <w:rFonts w:ascii="Arial" w:hAnsi="Arial"/>
          <w:sz w:val="22"/>
          <w:szCs w:val="22"/>
        </w:rPr>
        <w:t xml:space="preserve">à </w:t>
      </w:r>
      <w:r>
        <w:rPr>
          <w:rFonts w:ascii="Arial" w:hAnsi="Arial"/>
          <w:sz w:val="22"/>
          <w:szCs w:val="22"/>
        </w:rPr>
        <w:t>di monitoraggio e anche di spionaggio rappresentano quelli oscuri della digitalizzazione.</w:t>
      </w:r>
    </w:p>
    <w:p w14:paraId="4E8D96B1" w14:textId="77777777" w:rsidR="00B814C0" w:rsidRDefault="00B814C0">
      <w:pPr>
        <w:jc w:val="both"/>
        <w:rPr>
          <w:rFonts w:ascii="Arial" w:eastAsia="Arial" w:hAnsi="Arial" w:cs="Arial"/>
          <w:sz w:val="22"/>
          <w:szCs w:val="22"/>
        </w:rPr>
      </w:pPr>
    </w:p>
    <w:p w14:paraId="28DAD707" w14:textId="77777777" w:rsidR="00B814C0" w:rsidRDefault="0077723C">
      <w:pPr>
        <w:jc w:val="both"/>
        <w:rPr>
          <w:rFonts w:ascii="Arial" w:eastAsia="Arial" w:hAnsi="Arial" w:cs="Arial"/>
          <w:sz w:val="22"/>
          <w:szCs w:val="22"/>
        </w:rPr>
      </w:pPr>
      <w:r>
        <w:rPr>
          <w:rFonts w:ascii="Arial" w:hAnsi="Arial"/>
          <w:sz w:val="22"/>
          <w:szCs w:val="22"/>
        </w:rPr>
        <w:t>La sessione Mobilit</w:t>
      </w:r>
      <w:r>
        <w:rPr>
          <w:rFonts w:ascii="Arial" w:hAnsi="Arial"/>
          <w:sz w:val="22"/>
          <w:szCs w:val="22"/>
        </w:rPr>
        <w:t xml:space="preserve">à </w:t>
      </w:r>
      <w:r>
        <w:rPr>
          <w:rFonts w:ascii="Arial" w:hAnsi="Arial"/>
          <w:sz w:val="22"/>
          <w:szCs w:val="22"/>
        </w:rPr>
        <w:t>connessa e metamobilit</w:t>
      </w:r>
      <w:r>
        <w:rPr>
          <w:rFonts w:ascii="Arial" w:hAnsi="Arial"/>
          <w:sz w:val="22"/>
          <w:szCs w:val="22"/>
        </w:rPr>
        <w:t xml:space="preserve">à </w:t>
      </w:r>
      <w:r>
        <w:rPr>
          <w:rFonts w:ascii="Arial" w:hAnsi="Arial"/>
          <w:sz w:val="22"/>
          <w:szCs w:val="22"/>
        </w:rPr>
        <w:t>si terr</w:t>
      </w:r>
      <w:r>
        <w:rPr>
          <w:rFonts w:ascii="Arial" w:hAnsi="Arial"/>
          <w:sz w:val="22"/>
          <w:szCs w:val="22"/>
        </w:rPr>
        <w:t xml:space="preserve">à </w:t>
      </w:r>
      <w:r>
        <w:rPr>
          <w:rFonts w:ascii="Arial" w:hAnsi="Arial"/>
          <w:sz w:val="22"/>
          <w:szCs w:val="22"/>
        </w:rPr>
        <w:t>il 5 maggio in mattinata n</w:t>
      </w:r>
      <w:r>
        <w:rPr>
          <w:rFonts w:ascii="Arial" w:hAnsi="Arial"/>
          <w:sz w:val="22"/>
          <w:szCs w:val="22"/>
        </w:rPr>
        <w:t>ell</w:t>
      </w:r>
      <w:r>
        <w:rPr>
          <w:rFonts w:ascii="Arial" w:hAnsi="Arial"/>
          <w:sz w:val="22"/>
          <w:szCs w:val="22"/>
        </w:rPr>
        <w:t>’</w:t>
      </w:r>
      <w:r>
        <w:rPr>
          <w:rFonts w:ascii="Arial" w:hAnsi="Arial"/>
          <w:sz w:val="22"/>
          <w:szCs w:val="22"/>
        </w:rPr>
        <w:t>ambito di Next Generation Mobility, con la partecipazione di esperti, ricercatori e rappresentanti aziendali impegnati in prima linea nella digitalizzazione dei veicoli.</w:t>
      </w:r>
    </w:p>
    <w:p w14:paraId="6E77E009" w14:textId="77777777" w:rsidR="00B814C0" w:rsidRDefault="00B814C0">
      <w:pPr>
        <w:jc w:val="both"/>
        <w:rPr>
          <w:rStyle w:val="NessunoA"/>
          <w:rFonts w:ascii="Lato" w:eastAsia="Lato" w:hAnsi="Lato" w:cs="Lato"/>
          <w:i/>
          <w:iCs/>
          <w:sz w:val="22"/>
          <w:szCs w:val="22"/>
        </w:rPr>
      </w:pPr>
    </w:p>
    <w:p w14:paraId="07DAB7D4" w14:textId="77777777" w:rsidR="00B814C0" w:rsidRDefault="0077723C">
      <w:pPr>
        <w:jc w:val="both"/>
        <w:rPr>
          <w:rFonts w:ascii="Lato" w:eastAsia="Lato" w:hAnsi="Lato" w:cs="Lato"/>
          <w:i/>
          <w:iCs/>
          <w:sz w:val="22"/>
          <w:szCs w:val="22"/>
        </w:rPr>
      </w:pPr>
      <w:r>
        <w:rPr>
          <w:rFonts w:ascii="Lato" w:eastAsia="Lato" w:hAnsi="Lato" w:cs="Lato"/>
          <w:i/>
          <w:iCs/>
          <w:sz w:val="22"/>
          <w:szCs w:val="22"/>
        </w:rPr>
        <w:lastRenderedPageBreak/>
        <w:t>Next Generation Mobility nasce da una partnership consolidata: Clickutility Team,</w:t>
      </w:r>
      <w:r>
        <w:rPr>
          <w:rFonts w:ascii="Lato" w:eastAsia="Lato" w:hAnsi="Lato" w:cs="Lato"/>
          <w:i/>
          <w:iCs/>
          <w:sz w:val="22"/>
          <w:szCs w:val="22"/>
        </w:rPr>
        <w:t xml:space="preserve"> che da oltre 15 anni organizza convegni in ambito mobilità e smart city, e Studio Comelli, che da sempre si occupa di progettare contenuti di eventi e agende scientifiche e di media relations. </w:t>
      </w:r>
    </w:p>
    <w:p w14:paraId="6CCAEB8C" w14:textId="77777777" w:rsidR="00B814C0" w:rsidRDefault="00B814C0">
      <w:pPr>
        <w:jc w:val="both"/>
        <w:rPr>
          <w:rStyle w:val="NessunoA"/>
          <w:rFonts w:ascii="Lato" w:eastAsia="Lato" w:hAnsi="Lato" w:cs="Lato"/>
          <w:i/>
          <w:iCs/>
          <w:sz w:val="22"/>
          <w:szCs w:val="22"/>
        </w:rPr>
      </w:pPr>
    </w:p>
    <w:p w14:paraId="3FBB4827" w14:textId="77777777" w:rsidR="00B814C0" w:rsidRDefault="0077723C">
      <w:pPr>
        <w:jc w:val="both"/>
        <w:rPr>
          <w:rFonts w:ascii="Lato" w:eastAsia="Lato" w:hAnsi="Lato" w:cs="Lato"/>
          <w:i/>
          <w:iCs/>
          <w:sz w:val="22"/>
          <w:szCs w:val="22"/>
        </w:rPr>
      </w:pPr>
      <w:r>
        <w:rPr>
          <w:rFonts w:ascii="Lato" w:eastAsia="Lato" w:hAnsi="Lato" w:cs="Lato"/>
          <w:i/>
          <w:iCs/>
          <w:sz w:val="22"/>
          <w:szCs w:val="22"/>
        </w:rPr>
        <w:t xml:space="preserve">Maggiori informazioni sull’evento sul sito: </w:t>
      </w:r>
      <w:r>
        <w:rPr>
          <w:rFonts w:ascii="Lato" w:eastAsia="Lato" w:hAnsi="Lato" w:cs="Lato"/>
          <w:i/>
          <w:iCs/>
          <w:sz w:val="22"/>
          <w:szCs w:val="22"/>
        </w:rPr>
        <w:t>www.ngmobility.it</w:t>
      </w:r>
    </w:p>
    <w:p w14:paraId="0ECBE866" w14:textId="77777777" w:rsidR="00B814C0" w:rsidRDefault="00B814C0">
      <w:pPr>
        <w:rPr>
          <w:rStyle w:val="NessunoA"/>
          <w:rFonts w:ascii="Lato" w:eastAsia="Lato" w:hAnsi="Lato" w:cs="Lato"/>
          <w:b/>
          <w:bCs/>
          <w:i/>
          <w:iCs/>
          <w:sz w:val="16"/>
          <w:szCs w:val="16"/>
        </w:rPr>
      </w:pPr>
    </w:p>
    <w:p w14:paraId="3F9F3791" w14:textId="77777777" w:rsidR="00B814C0" w:rsidRDefault="0077723C">
      <w:pPr>
        <w:rPr>
          <w:rFonts w:ascii="Lato" w:eastAsia="Lato" w:hAnsi="Lato" w:cs="Lato"/>
          <w:b/>
          <w:bCs/>
          <w:sz w:val="20"/>
          <w:szCs w:val="20"/>
        </w:rPr>
      </w:pPr>
      <w:r>
        <w:rPr>
          <w:rFonts w:ascii="Lato" w:eastAsia="Lato" w:hAnsi="Lato" w:cs="Lato"/>
          <w:b/>
          <w:bCs/>
          <w:sz w:val="20"/>
          <w:szCs w:val="20"/>
        </w:rPr>
        <w:t>UFFICIO STAMPA E MEDIA RELATIONS</w:t>
      </w:r>
    </w:p>
    <w:p w14:paraId="5A239D73" w14:textId="77777777" w:rsidR="00B814C0" w:rsidRDefault="0077723C">
      <w:pPr>
        <w:rPr>
          <w:rFonts w:ascii="Lato" w:eastAsia="Lato" w:hAnsi="Lato" w:cs="Lato"/>
          <w:b/>
          <w:bCs/>
          <w:sz w:val="20"/>
          <w:szCs w:val="20"/>
        </w:rPr>
      </w:pPr>
      <w:r>
        <w:rPr>
          <w:rFonts w:ascii="Lato" w:eastAsia="Lato" w:hAnsi="Lato" w:cs="Lato"/>
          <w:b/>
          <w:bCs/>
          <w:sz w:val="20"/>
          <w:szCs w:val="20"/>
        </w:rPr>
        <w:t>Studio Comelli – Conferences&amp;Communication</w:t>
      </w:r>
    </w:p>
    <w:p w14:paraId="235C3493" w14:textId="77777777" w:rsidR="00B814C0" w:rsidRDefault="0077723C">
      <w:pPr>
        <w:rPr>
          <w:rStyle w:val="Nessuno"/>
          <w:rFonts w:ascii="Arial" w:eastAsia="Arial" w:hAnsi="Arial" w:cs="Arial"/>
          <w:sz w:val="20"/>
          <w:szCs w:val="20"/>
        </w:rPr>
      </w:pPr>
      <w:r>
        <w:rPr>
          <w:rFonts w:ascii="Arial" w:hAnsi="Arial"/>
          <w:sz w:val="20"/>
          <w:szCs w:val="20"/>
        </w:rPr>
        <w:t xml:space="preserve">Aurora Marin - </w:t>
      </w:r>
      <w:hyperlink r:id="rId6" w:history="1">
        <w:r>
          <w:rPr>
            <w:rStyle w:val="Hyperlink0"/>
          </w:rPr>
          <w:t>aurora@studiocomelli.eu</w:t>
        </w:r>
      </w:hyperlink>
      <w:r>
        <w:rPr>
          <w:rStyle w:val="Nessuno"/>
          <w:rFonts w:ascii="Arial" w:hAnsi="Arial"/>
          <w:sz w:val="20"/>
          <w:szCs w:val="20"/>
        </w:rPr>
        <w:t xml:space="preserve"> – </w:t>
      </w:r>
      <w:r>
        <w:rPr>
          <w:rStyle w:val="Nessuno"/>
          <w:rFonts w:ascii="Arial" w:hAnsi="Arial"/>
          <w:sz w:val="20"/>
          <w:szCs w:val="20"/>
        </w:rPr>
        <w:t>347 1722820</w:t>
      </w:r>
    </w:p>
    <w:p w14:paraId="23599F2E" w14:textId="77777777" w:rsidR="00B814C0" w:rsidRDefault="0077723C">
      <w:r>
        <w:rPr>
          <w:rStyle w:val="Nessuno"/>
          <w:rFonts w:ascii="Arial" w:hAnsi="Arial"/>
          <w:sz w:val="20"/>
          <w:szCs w:val="20"/>
        </w:rPr>
        <w:t xml:space="preserve">Salvatore Bruno -  </w:t>
      </w:r>
      <w:hyperlink r:id="rId7" w:history="1">
        <w:r>
          <w:rPr>
            <w:rStyle w:val="Hyperlink0"/>
          </w:rPr>
          <w:t>s.bruno@urlaaa.it</w:t>
        </w:r>
      </w:hyperlink>
      <w:r>
        <w:rPr>
          <w:rStyle w:val="Nessuno"/>
          <w:rFonts w:ascii="Arial" w:hAnsi="Arial"/>
          <w:sz w:val="20"/>
          <w:szCs w:val="20"/>
        </w:rPr>
        <w:t xml:space="preserve"> – </w:t>
      </w:r>
      <w:r>
        <w:rPr>
          <w:rStyle w:val="Nessuno"/>
          <w:rFonts w:ascii="Arial" w:hAnsi="Arial"/>
          <w:sz w:val="20"/>
          <w:szCs w:val="20"/>
        </w:rPr>
        <w:t>335 398913</w:t>
      </w:r>
    </w:p>
    <w:sectPr w:rsidR="00B814C0">
      <w:headerReference w:type="default" r:id="rId8"/>
      <w:footerReference w:type="default" r:id="rId9"/>
      <w:pgSz w:w="11900" w:h="16840"/>
      <w:pgMar w:top="3686" w:right="701" w:bottom="2127" w:left="1134" w:header="284"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527F" w14:textId="77777777" w:rsidR="0077723C" w:rsidRDefault="0077723C">
      <w:r>
        <w:separator/>
      </w:r>
    </w:p>
  </w:endnote>
  <w:endnote w:type="continuationSeparator" w:id="0">
    <w:p w14:paraId="5302C392" w14:textId="77777777" w:rsidR="0077723C" w:rsidRDefault="0077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7107" w14:textId="77777777" w:rsidR="00B814C0" w:rsidRDefault="00B814C0">
    <w:pPr>
      <w:pStyle w:val="Pidipagina"/>
      <w:spacing w:after="120"/>
      <w:jc w:val="center"/>
      <w:rPr>
        <w:rFonts w:ascii="Calibri" w:eastAsia="Calibri" w:hAnsi="Calibri" w:cs="Calibri"/>
        <w:b/>
        <w:bCs/>
        <w:color w:val="1E3B87"/>
        <w:u w:color="1E3B87"/>
      </w:rPr>
    </w:pPr>
  </w:p>
  <w:p w14:paraId="27870C1C" w14:textId="77777777" w:rsidR="00B814C0" w:rsidRDefault="0077723C">
    <w:pPr>
      <w:pStyle w:val="Pidipagina"/>
      <w:spacing w:after="120"/>
      <w:jc w:val="center"/>
      <w:rPr>
        <w:rFonts w:ascii="Calibri" w:eastAsia="Calibri" w:hAnsi="Calibri" w:cs="Calibri"/>
        <w:b/>
        <w:bCs/>
        <w:color w:val="1E3B87"/>
        <w:u w:color="1E3B87"/>
      </w:rPr>
    </w:pPr>
    <w:r>
      <w:rPr>
        <w:rFonts w:ascii="Calibri" w:hAnsi="Calibri"/>
        <w:b/>
        <w:bCs/>
        <w:color w:val="1E3B87"/>
        <w:u w:color="1E3B87"/>
      </w:rPr>
      <w:t>ORGANIZZATO DA</w:t>
    </w:r>
  </w:p>
  <w:p w14:paraId="02E85D9A" w14:textId="77777777" w:rsidR="00B814C0" w:rsidRDefault="0077723C">
    <w:pPr>
      <w:pStyle w:val="Pidipagina"/>
      <w:jc w:val="center"/>
    </w:pPr>
    <w:r>
      <w:rPr>
        <w:rStyle w:val="NessunoA"/>
        <w:noProof/>
      </w:rPr>
      <w:drawing>
        <wp:inline distT="0" distB="0" distL="0" distR="0" wp14:anchorId="7CF9049E" wp14:editId="78332CB0">
          <wp:extent cx="1210808" cy="288002"/>
          <wp:effectExtent l="0" t="0" r="0" b="0"/>
          <wp:docPr id="1073741827" name="officeArt object" descr="Immagine 29"/>
          <wp:cNvGraphicFramePr/>
          <a:graphic xmlns:a="http://schemas.openxmlformats.org/drawingml/2006/main">
            <a:graphicData uri="http://schemas.openxmlformats.org/drawingml/2006/picture">
              <pic:pic xmlns:pic="http://schemas.openxmlformats.org/drawingml/2006/picture">
                <pic:nvPicPr>
                  <pic:cNvPr id="1073741827" name="Immagine 29" descr="Immagine 29"/>
                  <pic:cNvPicPr>
                    <a:picLocks noChangeAspect="1"/>
                  </pic:cNvPicPr>
                </pic:nvPicPr>
                <pic:blipFill>
                  <a:blip r:embed="rId1"/>
                  <a:stretch>
                    <a:fillRect/>
                  </a:stretch>
                </pic:blipFill>
                <pic:spPr>
                  <a:xfrm>
                    <a:off x="0" y="0"/>
                    <a:ext cx="1210808" cy="288002"/>
                  </a:xfrm>
                  <a:prstGeom prst="rect">
                    <a:avLst/>
                  </a:prstGeom>
                  <a:ln w="12700" cap="flat">
                    <a:noFill/>
                    <a:miter lim="400000"/>
                  </a:ln>
                  <a:effectLst/>
                </pic:spPr>
              </pic:pic>
            </a:graphicData>
          </a:graphic>
        </wp:inline>
      </w:drawing>
    </w:r>
    <w:r>
      <w:rPr>
        <w:rStyle w:val="NessunoA"/>
      </w:rPr>
      <w:t xml:space="preserve">               </w:t>
    </w:r>
    <w:r>
      <w:rPr>
        <w:rStyle w:val="NessunoA"/>
        <w:noProof/>
      </w:rPr>
      <w:drawing>
        <wp:inline distT="0" distB="0" distL="0" distR="0" wp14:anchorId="5E464F8D" wp14:editId="4A66B88D">
          <wp:extent cx="1111815" cy="288002"/>
          <wp:effectExtent l="0" t="0" r="0" b="0"/>
          <wp:docPr id="1073741828" name="officeArt object" descr="Immagine 30"/>
          <wp:cNvGraphicFramePr/>
          <a:graphic xmlns:a="http://schemas.openxmlformats.org/drawingml/2006/main">
            <a:graphicData uri="http://schemas.openxmlformats.org/drawingml/2006/picture">
              <pic:pic xmlns:pic="http://schemas.openxmlformats.org/drawingml/2006/picture">
                <pic:nvPicPr>
                  <pic:cNvPr id="1073741828" name="Immagine 30" descr="Immagine 30"/>
                  <pic:cNvPicPr>
                    <a:picLocks noChangeAspect="1"/>
                  </pic:cNvPicPr>
                </pic:nvPicPr>
                <pic:blipFill>
                  <a:blip r:embed="rId2"/>
                  <a:stretch>
                    <a:fillRect/>
                  </a:stretch>
                </pic:blipFill>
                <pic:spPr>
                  <a:xfrm>
                    <a:off x="0" y="0"/>
                    <a:ext cx="1111815" cy="288002"/>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5BFA" w14:textId="77777777" w:rsidR="0077723C" w:rsidRDefault="0077723C">
      <w:r>
        <w:separator/>
      </w:r>
    </w:p>
  </w:footnote>
  <w:footnote w:type="continuationSeparator" w:id="0">
    <w:p w14:paraId="1E5431E6" w14:textId="77777777" w:rsidR="0077723C" w:rsidRDefault="00777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B271" w14:textId="77777777" w:rsidR="00B814C0" w:rsidRDefault="0077723C">
    <w:pPr>
      <w:pStyle w:val="Intestazione"/>
      <w:jc w:val="center"/>
    </w:pPr>
    <w:r>
      <w:rPr>
        <w:noProof/>
      </w:rPr>
      <mc:AlternateContent>
        <mc:Choice Requires="wps">
          <w:drawing>
            <wp:anchor distT="152400" distB="152400" distL="152400" distR="152400" simplePos="0" relativeHeight="251658240" behindDoc="1" locked="0" layoutInCell="1" allowOverlap="1" wp14:anchorId="0A03267B" wp14:editId="35E7F628">
              <wp:simplePos x="0" y="0"/>
              <wp:positionH relativeFrom="page">
                <wp:posOffset>-3416617</wp:posOffset>
              </wp:positionH>
              <wp:positionV relativeFrom="page">
                <wp:posOffset>4949825</wp:posOffset>
              </wp:positionV>
              <wp:extent cx="7341235" cy="472441"/>
              <wp:effectExtent l="0" t="0" r="0" b="0"/>
              <wp:wrapNone/>
              <wp:docPr id="1073741825" name="officeArt object" descr="Casella di testo 2"/>
              <wp:cNvGraphicFramePr/>
              <a:graphic xmlns:a="http://schemas.openxmlformats.org/drawingml/2006/main">
                <a:graphicData uri="http://schemas.microsoft.com/office/word/2010/wordprocessingShape">
                  <wps:wsp>
                    <wps:cNvSpPr txBox="1"/>
                    <wps:spPr>
                      <a:xfrm rot="16200000">
                        <a:off x="0" y="0"/>
                        <a:ext cx="7341235" cy="472441"/>
                      </a:xfrm>
                      <a:prstGeom prst="rect">
                        <a:avLst/>
                      </a:prstGeom>
                      <a:solidFill>
                        <a:srgbClr val="FFFFFF"/>
                      </a:solidFill>
                      <a:ln w="12700" cap="flat">
                        <a:noFill/>
                        <a:miter lim="400000"/>
                      </a:ln>
                      <a:effectLst/>
                    </wps:spPr>
                    <wps:txbx>
                      <w:txbxContent>
                        <w:p w14:paraId="61C2DB61" w14:textId="77777777" w:rsidR="00B814C0" w:rsidRDefault="0077723C">
                          <w:pPr>
                            <w:jc w:val="center"/>
                          </w:pPr>
                          <w:r>
                            <w:rPr>
                              <w:rFonts w:ascii="Arial Narrow" w:hAnsi="Arial Narrow"/>
                              <w:color w:val="1F497D"/>
                              <w:sz w:val="52"/>
                              <w:szCs w:val="52"/>
                              <w:u w:color="1F497D"/>
                            </w:rPr>
                            <w:t>INFORMAZIONI PER LA STAMPA</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269.0pt;margin-top:389.8pt;width:578.0pt;height:37.2pt;z-index:-251658240;mso-position-horizontal:absolute;mso-position-horizontal-relative:page;mso-position-vertical:absolute;mso-position-vertical-relative:page;mso-wrap-distance-left:12.0pt;mso-wrap-distance-top:12.0pt;mso-wrap-distance-right:12.0pt;mso-wrap-distance-bottom:12.0pt;rotation:17694720fd;">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rFonts w:ascii="Arial Narrow" w:hAnsi="Arial Narrow"/>
                        <w:outline w:val="0"/>
                        <w:color w:val="1f497d"/>
                        <w:sz w:val="52"/>
                        <w:szCs w:val="52"/>
                        <w:u w:color="1f497d"/>
                        <w:rtl w:val="0"/>
                        <w:lang w:val="it-IT"/>
                        <w14:textFill>
                          <w14:solidFill>
                            <w14:srgbClr w14:val="1F497D"/>
                          </w14:solidFill>
                        </w14:textFill>
                      </w:rPr>
                      <w:t>INFORMAZIONI PER LA STAMPA</w:t>
                    </w:r>
                  </w:p>
                </w:txbxContent>
              </v:textbox>
              <w10:wrap type="none" side="bothSides" anchorx="page" anchory="page"/>
            </v:shape>
          </w:pict>
        </mc:Fallback>
      </mc:AlternateContent>
    </w:r>
    <w:r>
      <w:rPr>
        <w:noProof/>
      </w:rPr>
      <w:drawing>
        <wp:anchor distT="152400" distB="152400" distL="152400" distR="152400" simplePos="0" relativeHeight="251659264" behindDoc="1" locked="0" layoutInCell="1" allowOverlap="1" wp14:anchorId="1EDB1C39" wp14:editId="56D67951">
          <wp:simplePos x="0" y="0"/>
          <wp:positionH relativeFrom="page">
            <wp:posOffset>2590800</wp:posOffset>
          </wp:positionH>
          <wp:positionV relativeFrom="page">
            <wp:posOffset>160020</wp:posOffset>
          </wp:positionV>
          <wp:extent cx="2363470" cy="1333500"/>
          <wp:effectExtent l="0" t="0" r="0" b="0"/>
          <wp:wrapNone/>
          <wp:docPr id="1073741826" name="officeArt object" descr="Immagine 28"/>
          <wp:cNvGraphicFramePr/>
          <a:graphic xmlns:a="http://schemas.openxmlformats.org/drawingml/2006/main">
            <a:graphicData uri="http://schemas.openxmlformats.org/drawingml/2006/picture">
              <pic:pic xmlns:pic="http://schemas.openxmlformats.org/drawingml/2006/picture">
                <pic:nvPicPr>
                  <pic:cNvPr id="1073741826" name="Immagine 28" descr="Immagine 28"/>
                  <pic:cNvPicPr>
                    <a:picLocks noChangeAspect="1"/>
                  </pic:cNvPicPr>
                </pic:nvPicPr>
                <pic:blipFill>
                  <a:blip r:embed="rId1"/>
                  <a:stretch>
                    <a:fillRect/>
                  </a:stretch>
                </pic:blipFill>
                <pic:spPr>
                  <a:xfrm>
                    <a:off x="0" y="0"/>
                    <a:ext cx="2363470" cy="1333500"/>
                  </a:xfrm>
                  <a:prstGeom prst="rect">
                    <a:avLst/>
                  </a:prstGeom>
                  <a:ln w="12700" cap="flat">
                    <a:noFill/>
                    <a:miter lim="400000"/>
                  </a:ln>
                  <a:effectLst/>
                </pic:spPr>
              </pic:pic>
            </a:graphicData>
          </a:graphic>
        </wp:anchor>
      </w:drawing>
    </w:r>
  </w:p>
  <w:p w14:paraId="379A6C26" w14:textId="77777777" w:rsidR="00B814C0" w:rsidRDefault="00B814C0">
    <w:pPr>
      <w:pStyle w:val="Intestazione"/>
      <w:jc w:val="center"/>
      <w:rPr>
        <w:rFonts w:ascii="Calibri" w:hAnsi="Calibri"/>
        <w:color w:val="1E3B87"/>
        <w:spacing w:val="10"/>
        <w:sz w:val="28"/>
        <w:szCs w:val="28"/>
        <w:u w:color="1E3B87"/>
      </w:rPr>
    </w:pPr>
  </w:p>
  <w:p w14:paraId="3A33B224" w14:textId="77777777" w:rsidR="00B814C0" w:rsidRDefault="00B814C0">
    <w:pPr>
      <w:pStyle w:val="Intestazione"/>
      <w:jc w:val="center"/>
      <w:rPr>
        <w:rFonts w:ascii="Calibri" w:hAnsi="Calibri"/>
        <w:color w:val="1E3B87"/>
        <w:spacing w:val="10"/>
        <w:sz w:val="28"/>
        <w:szCs w:val="28"/>
        <w:u w:color="1E3B87"/>
      </w:rPr>
    </w:pPr>
  </w:p>
  <w:p w14:paraId="6C45DBBA" w14:textId="77777777" w:rsidR="00B814C0" w:rsidRDefault="00B814C0">
    <w:pPr>
      <w:pStyle w:val="Intestazione"/>
      <w:jc w:val="center"/>
      <w:rPr>
        <w:rFonts w:ascii="Calibri" w:hAnsi="Calibri"/>
        <w:color w:val="1E3B87"/>
        <w:spacing w:val="10"/>
        <w:sz w:val="28"/>
        <w:szCs w:val="28"/>
        <w:u w:color="1E3B87"/>
      </w:rPr>
    </w:pPr>
  </w:p>
  <w:p w14:paraId="4F0B67CE" w14:textId="77777777" w:rsidR="00B814C0" w:rsidRDefault="00B814C0">
    <w:pPr>
      <w:pStyle w:val="Intestazione"/>
      <w:jc w:val="center"/>
      <w:rPr>
        <w:rFonts w:ascii="Calibri" w:hAnsi="Calibri"/>
        <w:color w:val="1E3B87"/>
        <w:spacing w:val="10"/>
        <w:sz w:val="28"/>
        <w:szCs w:val="28"/>
        <w:u w:color="1E3B87"/>
      </w:rPr>
    </w:pPr>
  </w:p>
  <w:p w14:paraId="039A1FC8" w14:textId="77777777" w:rsidR="00B814C0" w:rsidRDefault="00B814C0">
    <w:pPr>
      <w:pStyle w:val="Intestazione"/>
      <w:jc w:val="center"/>
      <w:rPr>
        <w:rFonts w:ascii="Calibri" w:hAnsi="Calibri"/>
        <w:color w:val="1E3B87"/>
        <w:spacing w:val="10"/>
        <w:sz w:val="28"/>
        <w:szCs w:val="28"/>
        <w:u w:color="1E3B87"/>
      </w:rPr>
    </w:pPr>
  </w:p>
  <w:p w14:paraId="4AC1FC3E" w14:textId="77777777" w:rsidR="00B814C0" w:rsidRDefault="00B814C0">
    <w:pPr>
      <w:pStyle w:val="Intestazione"/>
      <w:jc w:val="center"/>
      <w:rPr>
        <w:rFonts w:ascii="Calibri" w:hAnsi="Calibri"/>
        <w:color w:val="1E3B87"/>
        <w:spacing w:val="10"/>
        <w:sz w:val="28"/>
        <w:szCs w:val="28"/>
        <w:u w:color="1E3B87"/>
      </w:rPr>
    </w:pPr>
  </w:p>
  <w:p w14:paraId="0EF6C665" w14:textId="77777777" w:rsidR="00B814C0" w:rsidRDefault="0077723C">
    <w:pPr>
      <w:pStyle w:val="Intestazione"/>
      <w:jc w:val="center"/>
      <w:rPr>
        <w:rFonts w:ascii="Calibri" w:eastAsia="Calibri" w:hAnsi="Calibri" w:cs="Calibri"/>
        <w:color w:val="1E3B87"/>
        <w:spacing w:val="10"/>
        <w:sz w:val="28"/>
        <w:szCs w:val="28"/>
        <w:u w:color="1E3B87"/>
      </w:rPr>
    </w:pPr>
    <w:r>
      <w:rPr>
        <w:rFonts w:ascii="Calibri" w:hAnsi="Calibri"/>
        <w:color w:val="1E3B87"/>
        <w:spacing w:val="10"/>
        <w:sz w:val="28"/>
        <w:szCs w:val="28"/>
        <w:u w:color="1E3B87"/>
      </w:rPr>
      <w:t xml:space="preserve">3 - 4 </w:t>
    </w:r>
    <w:r>
      <w:rPr>
        <w:rFonts w:ascii="Calibri" w:hAnsi="Calibri"/>
        <w:color w:val="1E3B87"/>
        <w:spacing w:val="10"/>
        <w:sz w:val="28"/>
        <w:szCs w:val="28"/>
        <w:u w:color="1E3B87"/>
      </w:rPr>
      <w:t xml:space="preserve">– </w:t>
    </w:r>
    <w:r>
      <w:rPr>
        <w:rFonts w:ascii="Calibri" w:hAnsi="Calibri"/>
        <w:color w:val="1E3B87"/>
        <w:spacing w:val="10"/>
        <w:sz w:val="28"/>
        <w:szCs w:val="28"/>
        <w:u w:color="1E3B87"/>
      </w:rPr>
      <w:t>5 maggio 2022</w:t>
    </w:r>
  </w:p>
  <w:p w14:paraId="2C25CB70" w14:textId="77777777" w:rsidR="00B814C0" w:rsidRDefault="0077723C">
    <w:pPr>
      <w:pStyle w:val="Intestazione"/>
      <w:jc w:val="center"/>
    </w:pPr>
    <w:r>
      <w:rPr>
        <w:rFonts w:ascii="Calibri" w:hAnsi="Calibri"/>
        <w:color w:val="E7DA12"/>
        <w:spacing w:val="10"/>
        <w:sz w:val="28"/>
        <w:szCs w:val="28"/>
        <w:u w:color="E7DA12"/>
      </w:rPr>
      <w:t xml:space="preserve">www.ngmobility.it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C0"/>
    <w:rsid w:val="000A40D8"/>
    <w:rsid w:val="0077723C"/>
    <w:rsid w:val="008E3DD3"/>
    <w:rsid w:val="00B814C0"/>
    <w:rsid w:val="00E630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70B9"/>
  <w15:docId w15:val="{1B6CBC31-09E1-4BFE-BB55-EF70D7F0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hAnsi="Cambria" w:cs="Arial Unicode MS"/>
      <w:color w:val="000000"/>
      <w:sz w:val="24"/>
      <w:szCs w:val="24"/>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hAnsi="Cambria" w:cs="Arial Unicode MS"/>
      <w:color w:val="000000"/>
      <w:sz w:val="24"/>
      <w:szCs w:val="24"/>
      <w:u w:color="000000"/>
      <w14:textOutline w14:w="12700" w14:cap="flat" w14:cmpd="sng" w14:algn="ctr">
        <w14:noFill/>
        <w14:prstDash w14:val="solid"/>
        <w14:miter w14:lim="400000"/>
      </w14:textOutline>
    </w:rPr>
  </w:style>
  <w:style w:type="paragraph" w:styleId="Pidipagina">
    <w:name w:val="footer"/>
    <w:pPr>
      <w:tabs>
        <w:tab w:val="center" w:pos="4819"/>
        <w:tab w:val="right" w:pos="9638"/>
      </w:tabs>
    </w:pPr>
    <w:rPr>
      <w:rFonts w:ascii="Cambria" w:eastAsia="Cambria" w:hAnsi="Cambria" w:cs="Cambria"/>
      <w:color w:val="000000"/>
      <w:sz w:val="24"/>
      <w:szCs w:val="24"/>
      <w:u w:color="000000"/>
    </w:rPr>
  </w:style>
  <w:style w:type="character" w:customStyle="1" w:styleId="NessunoA">
    <w:name w:val="Nessuno A"/>
  </w:style>
  <w:style w:type="character" w:customStyle="1" w:styleId="Nessuno">
    <w:name w:val="Nessuno"/>
  </w:style>
  <w:style w:type="character" w:customStyle="1" w:styleId="Hyperlink0">
    <w:name w:val="Hyperlink.0"/>
    <w:basedOn w:val="Nessuno"/>
    <w:rPr>
      <w:rFonts w:ascii="Arial" w:eastAsia="Arial" w:hAnsi="Arial" w:cs="Arial"/>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bruno@urlaa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rora@studiocomelli.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Aurora Marin</cp:lastModifiedBy>
  <cp:revision>3</cp:revision>
  <dcterms:created xsi:type="dcterms:W3CDTF">2022-04-28T10:06:00Z</dcterms:created>
  <dcterms:modified xsi:type="dcterms:W3CDTF">2022-04-28T10:37:00Z</dcterms:modified>
</cp:coreProperties>
</file>