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Auto connesse, digitalizzazione e micromobilit</w:t>
      </w:r>
      <w:r>
        <w:rPr>
          <w:b w:val="1"/>
          <w:b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b w:val="1"/>
          <w:b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chiudono la tre giorni di Next Generation Mobility</w:t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sz w:val="28"/>
          <w:szCs w:val="28"/>
          <w:rtl w:val="0"/>
          <w:lang w:val="it-IT"/>
        </w:rPr>
        <w:t xml:space="preserve">Ultima giornata di </w:t>
      </w:r>
      <w:r>
        <w:rPr>
          <w:i w:val="1"/>
          <w:iCs w:val="1"/>
          <w:sz w:val="28"/>
          <w:szCs w:val="28"/>
          <w:rtl w:val="0"/>
          <w:lang w:val="it-IT"/>
        </w:rPr>
        <w:t>Next Generation Mobility, l</w:t>
      </w:r>
      <w:r>
        <w:rPr>
          <w:i w:val="1"/>
          <w:iCs w:val="1"/>
          <w:sz w:val="28"/>
          <w:szCs w:val="28"/>
          <w:rtl w:val="0"/>
          <w:lang w:val="it-IT"/>
        </w:rPr>
        <w:t>’</w:t>
      </w:r>
      <w:r>
        <w:rPr>
          <w:i w:val="1"/>
          <w:iCs w:val="1"/>
          <w:sz w:val="28"/>
          <w:szCs w:val="28"/>
          <w:rtl w:val="0"/>
          <w:lang w:val="it-IT"/>
        </w:rPr>
        <w:t>evento sulle tematiche pi</w:t>
      </w:r>
      <w:r>
        <w:rPr>
          <w:i w:val="1"/>
          <w:iCs w:val="1"/>
          <w:sz w:val="28"/>
          <w:szCs w:val="28"/>
          <w:rtl w:val="0"/>
          <w:lang w:val="it-IT"/>
        </w:rPr>
        <w:t xml:space="preserve">ù </w:t>
      </w:r>
      <w:r>
        <w:rPr>
          <w:i w:val="1"/>
          <w:iCs w:val="1"/>
          <w:sz w:val="28"/>
          <w:szCs w:val="28"/>
          <w:rtl w:val="0"/>
          <w:lang w:val="it-IT"/>
        </w:rPr>
        <w:t>rilevanti della mobilit</w:t>
      </w:r>
      <w:r>
        <w:rPr>
          <w:i w:val="1"/>
          <w:iCs w:val="1"/>
          <w:sz w:val="28"/>
          <w:szCs w:val="28"/>
          <w:rtl w:val="0"/>
          <w:lang w:val="it-IT"/>
        </w:rPr>
        <w:t xml:space="preserve">à </w:t>
      </w:r>
      <w:r>
        <w:rPr>
          <w:i w:val="1"/>
          <w:iCs w:val="1"/>
          <w:sz w:val="28"/>
          <w:szCs w:val="28"/>
          <w:rtl w:val="0"/>
          <w:lang w:val="it-IT"/>
        </w:rPr>
        <w:t>urbana e delle merci in programma  al Museo Nazionale dell</w:t>
      </w:r>
      <w:r>
        <w:rPr>
          <w:i w:val="1"/>
          <w:iCs w:val="1"/>
          <w:sz w:val="28"/>
          <w:szCs w:val="28"/>
          <w:rtl w:val="0"/>
          <w:lang w:val="it-IT"/>
        </w:rPr>
        <w:t>’</w:t>
      </w:r>
      <w:r>
        <w:rPr>
          <w:i w:val="1"/>
          <w:iCs w:val="1"/>
          <w:sz w:val="28"/>
          <w:szCs w:val="28"/>
          <w:rtl w:val="0"/>
          <w:lang w:val="it-IT"/>
        </w:rPr>
        <w:t>Auto di Torino</w:t>
      </w:r>
      <w:r>
        <w:rPr>
          <w:i w:val="1"/>
          <w:iCs w:val="1"/>
          <w:sz w:val="28"/>
          <w:szCs w:val="28"/>
          <w:rtl w:val="0"/>
          <w:lang w:val="it-IT"/>
        </w:rPr>
        <w:t xml:space="preserve">. La manifestazione </w:t>
      </w:r>
      <w:r>
        <w:rPr>
          <w:i w:val="1"/>
          <w:iCs w:val="1"/>
          <w:sz w:val="28"/>
          <w:szCs w:val="28"/>
          <w:rtl w:val="0"/>
          <w:lang w:val="it-IT"/>
        </w:rPr>
        <w:t xml:space="preserve">si conclude con un trio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argomenti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caldi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 auto digitale, veicoli in rete e mobilit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leggera elettrica e dolce. </w:t>
      </w:r>
    </w:p>
    <w:p>
      <w:pPr>
        <w:pStyle w:val="Normal.0"/>
        <w:jc w:val="center"/>
        <w:rPr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Torino, 5 maggio 2022 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tl w:val="0"/>
          <w:lang w:val="it-IT"/>
        </w:rPr>
        <w:t xml:space="preserve">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conclusa </w:t>
      </w:r>
      <w:r>
        <w:rPr>
          <w:rtl w:val="0"/>
          <w:lang w:val="it-IT"/>
        </w:rPr>
        <w:t xml:space="preserve">la tre giorni di </w:t>
      </w:r>
      <w:r>
        <w:rPr>
          <w:b w:val="1"/>
          <w:bCs w:val="1"/>
          <w:rtl w:val="0"/>
          <w:lang w:val="it-IT"/>
        </w:rPr>
        <w:t>Next Generation Mobility</w:t>
      </w:r>
      <w:r>
        <w:rPr>
          <w:b w:val="1"/>
          <w:bCs w:val="1"/>
          <w:rtl w:val="0"/>
          <w:lang w:val="it-IT"/>
        </w:rPr>
        <w:t xml:space="preserve"> 2022</w:t>
      </w:r>
      <w:r>
        <w:rPr>
          <w:rtl w:val="0"/>
          <w:lang w:val="it-IT"/>
        </w:rPr>
        <w:t xml:space="preserve"> che ha visto la partecipazione di </w:t>
      </w:r>
      <w:r>
        <w:rPr>
          <w:b w:val="1"/>
          <w:bCs w:val="1"/>
          <w:i w:val="1"/>
          <w:iCs w:val="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3500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rtl w:val="0"/>
          <w:lang w:val="it-IT"/>
        </w:rPr>
        <w:t xml:space="preserve">utenti </w:t>
      </w:r>
      <w:r>
        <w:rPr>
          <w:rtl w:val="0"/>
          <w:lang w:val="it-IT"/>
        </w:rPr>
        <w:t>-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 presenza e in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streaming - </w:t>
      </w:r>
      <w:r>
        <w:rPr>
          <w:b w:val="1"/>
          <w:bCs w:val="1"/>
          <w:rtl w:val="0"/>
          <w:lang w:val="it-IT"/>
        </w:rPr>
        <w:t>129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rtl w:val="0"/>
          <w:lang w:val="it-IT"/>
        </w:rPr>
        <w:t>relatori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 </w:t>
      </w:r>
      <w:r>
        <w:rPr>
          <w:b w:val="1"/>
          <w:bCs w:val="1"/>
          <w:rtl w:val="0"/>
          <w:lang w:val="it-IT"/>
        </w:rPr>
        <w:t xml:space="preserve">105 partner. 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Tre i temi della giornata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di oggi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</w:t>
      </w:r>
      <w:r>
        <w:rPr>
          <w:b w:val="1"/>
          <w:bCs w:val="1"/>
          <w:rtl w:val="0"/>
          <w:lang w:val="it-IT"/>
        </w:rPr>
        <w:t>digitalizzazione e automazione delle auto</w:t>
      </w:r>
      <w:r>
        <w:rPr>
          <w:rtl w:val="0"/>
          <w:lang w:val="it-IT"/>
        </w:rPr>
        <w:t>;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veicoli connessi</w:t>
      </w:r>
      <w:r>
        <w:rPr>
          <w:rtl w:val="0"/>
          <w:lang w:val="it-IT"/>
        </w:rPr>
        <w:t>;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micromobilit</w:t>
      </w:r>
      <w:r>
        <w:rPr>
          <w:b w:val="1"/>
          <w:bCs w:val="1"/>
          <w:rtl w:val="0"/>
          <w:lang w:val="it-IT"/>
        </w:rPr>
        <w:t>à</w:t>
      </w:r>
      <w:r>
        <w:rPr>
          <w:b w:val="1"/>
          <w:bCs w:val="1"/>
          <w:rtl w:val="0"/>
          <w:lang w:val="it-IT"/>
        </w:rPr>
        <w:t xml:space="preserve">. </w:t>
      </w:r>
      <w:r>
        <w:rPr>
          <w:rtl w:val="0"/>
          <w:lang w:val="it-IT"/>
        </w:rPr>
        <w:t>Quest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ultimo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termine che comprende la mobilit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individuale leggera, dalle biciclette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skateboard fino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mezzi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come i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scooter e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monopattini elettrici.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sessione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mattutina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stata dedicata ai primi due temi. Sotto la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conduzione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rtl w:val="0"/>
          <w:lang w:val="it-IT"/>
        </w:rPr>
        <w:t>Roberto Sposini</w:t>
      </w:r>
      <w:r>
        <w:rPr>
          <w:b w:val="1"/>
          <w:bCs w:val="1"/>
          <w:rtl w:val="0"/>
          <w:lang w:val="it-IT"/>
        </w:rPr>
        <w:t xml:space="preserve"> ,</w:t>
      </w:r>
      <w:r>
        <w:rPr>
          <w:rtl w:val="0"/>
          <w:lang w:val="it-IT"/>
        </w:rPr>
        <w:t>noto giornalista di</w:t>
      </w:r>
      <w:r>
        <w:rPr>
          <w:b w:val="1"/>
          <w:bCs w:val="1"/>
          <w:rtl w:val="0"/>
          <w:lang w:val="it-IT"/>
        </w:rPr>
        <w:t xml:space="preserve"> Lifegate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i relatori hanno illustrato e discusso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evoluzione digitale,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 corso da diversi anni ma che ora sembra accelerare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di oggi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annuncio di Volkswagen relativo alla guida autonoma di livello 4, ossia quella che permette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automazione totale nell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ambito di aree definite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Ci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significa che il veicolo pu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anche non mettere a disposizione dei suoi occupanti degli strumenti di guida e apre la strada, per esempio, ai robotaxi e alla guida autonoma in autostrada. Questi exploit tecnologici si basano su una serie di premesse, cui NGM ha dedicato attenzione. </w:t>
      </w:r>
      <w:r>
        <w:rPr>
          <w:b w:val="1"/>
          <w:bCs w:val="1"/>
          <w:rtl w:val="0"/>
          <w:lang w:val="it-IT"/>
        </w:rPr>
        <w:t>Mario Nobile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Direttore generale della digitalizzazione del </w:t>
      </w:r>
      <w:r>
        <w:rPr>
          <w:b w:val="1"/>
          <w:bCs w:val="1"/>
          <w:rtl w:val="0"/>
          <w:lang w:val="it-IT"/>
        </w:rPr>
        <w:t>Ministero delle Infrastrutture e della Mobilit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Sostenibili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ha spiegato le recenti modifiche e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le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nuove regole della Convenzione di Vienna sulla guida autonoma, che ha sancito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autorizzazione all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autonomia di Livello 3 e pos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 le premesse per il Livello 4. 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  <w:lang w:val="it-IT"/>
        </w:rPr>
        <w:t>Marco Franza</w:t>
      </w:r>
      <w:r>
        <w:rPr>
          <w:rtl w:val="0"/>
          <w:lang w:val="it-IT"/>
        </w:rPr>
        <w:t xml:space="preserve">, Direttore del servizio clienti a livello globale di </w:t>
      </w:r>
      <w:r>
        <w:rPr>
          <w:b w:val="1"/>
          <w:bCs w:val="1"/>
          <w:rtl w:val="0"/>
          <w:lang w:val="it-IT"/>
        </w:rPr>
        <w:t>IVECO BUS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rtl w:val="0"/>
          <w:lang w:val="it-IT"/>
        </w:rPr>
        <w:t>ha evidenziato come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</w:t>
      </w:r>
      <w:r>
        <w:rPr>
          <w:rtl w:val="0"/>
          <w:lang w:val="it-IT"/>
        </w:rPr>
        <w:t>utoma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zione dei vicoli non signific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hi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solo auto,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 trasporto pubblico locale.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Un esempio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caso di </w:t>
      </w:r>
      <w:r>
        <w:rPr>
          <w:b w:val="1"/>
          <w:bCs w:val="1"/>
          <w:rtl w:val="0"/>
          <w:lang w:val="it-IT"/>
        </w:rPr>
        <w:t>Ioki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che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ha presentato oggi al NGM il primo progetto in Italia di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prima linea TPL autonoma che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sar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inaugurata a Torino nei prossimi mesi. 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Connessione per monitoraggio e controllo di veicoli autonomi oggi non pu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prescindere dal 5G, tema affrontato da </w:t>
      </w:r>
      <w:r>
        <w:rPr>
          <w:b w:val="1"/>
          <w:bCs w:val="1"/>
          <w:rtl w:val="0"/>
          <w:lang w:val="it-IT"/>
        </w:rPr>
        <w:t>Roberto Fantin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 di </w:t>
      </w:r>
      <w:r>
        <w:rPr>
          <w:b w:val="1"/>
          <w:bCs w:val="1"/>
          <w:rtl w:val="0"/>
          <w:lang w:val="it-IT"/>
        </w:rPr>
        <w:t>TIM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e dalla messa a punto di standard e pratiche condivise, obiettivo del progetto europeo </w:t>
      </w:r>
      <w:r>
        <w:rPr>
          <w:b w:val="1"/>
          <w:bCs w:val="1"/>
          <w:rtl w:val="0"/>
          <w:lang w:val="it-IT"/>
        </w:rPr>
        <w:t>5G CARMEN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"http://www.5gcarmen.eu/"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www.5gcarmen.eu</w:t>
      </w:r>
      <w:r>
        <w:rPr/>
        <w:fldChar w:fldCharType="end" w:fldLock="0"/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 tecnologie di base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automazione veicolare stanno trovando applicazione anche in settori inaspettati. Per esempio, la startup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piemontese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rtl w:val="0"/>
          <w:lang w:val="it-IT"/>
        </w:rPr>
        <w:t>ALBA Robot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ha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presentato il loro proprio progetto di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sedie a motore elettrico che garantiscono la mobilit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ambienti indoor, come ospedali, aeroporti, musei in modalit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automatica. 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digitalizzazione spinta delle auto garantisce una serie di vantaggi e servizi sia per il conducente e i passeggeri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sia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la societ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Un esempio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utilizzo dei sensori di bordo per monitorare lo stato del manto stradale da parte di auto e autobus che circolano per altre finalit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come nel progetto portato avanti dal </w:t>
      </w:r>
      <w:r>
        <w:rPr>
          <w:b w:val="1"/>
          <w:bCs w:val="1"/>
          <w:rtl w:val="0"/>
          <w:lang w:val="it-IT"/>
        </w:rPr>
        <w:t xml:space="preserve">CNR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illustrato da </w:t>
      </w:r>
      <w:r>
        <w:rPr>
          <w:b w:val="1"/>
          <w:bCs w:val="1"/>
          <w:rtl w:val="0"/>
          <w:lang w:val="it-IT"/>
        </w:rPr>
        <w:t xml:space="preserve">Andrea Ranieri.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tratta di un esempio di metamobilit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ossia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utilizzo dei sensori, delle connessioni e della potenza di calcolo dei veicoli digitalizzati per finalit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diversa da quelle legate al servizio per i passeggeri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ultima sessione di NGM ha esplorato i diversi aspetti della mobilit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leggera, sia di propriet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sia 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noleggio a brevissimo termine (sharing). </w:t>
      </w:r>
      <w:r>
        <w:rPr>
          <w:b w:val="1"/>
          <w:bCs w:val="1"/>
          <w:rtl w:val="0"/>
          <w:lang w:val="it-IT"/>
        </w:rPr>
        <w:t>Andrea Giaretta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segretario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di </w:t>
      </w:r>
      <w:r>
        <w:rPr>
          <w:b w:val="1"/>
          <w:bCs w:val="1"/>
          <w:rtl w:val="0"/>
          <w:lang w:val="it-IT"/>
        </w:rPr>
        <w:t>Assosharing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rtl w:val="0"/>
          <w:lang w:val="it-IT"/>
        </w:rPr>
        <w:t>Luca Refrigeri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rtl w:val="0"/>
          <w:lang w:val="it-IT"/>
        </w:rPr>
        <w:t>Osservatorio Nazionale della Sharing Mobility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hanno presentato lo stato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arte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utilizzo condiviso di biciclette e monopattini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particolarmente cruciali in un quadro di sviluppo delle citt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basato sul concetto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urbano e residenaziale della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b w:val="1"/>
          <w:bCs w:val="1"/>
          <w:rtl w:val="0"/>
          <w:lang w:val="it-IT"/>
        </w:rPr>
        <w:t>Citt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in 15 minuti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ruolo delle amministrazioni cittadine e metropolitane nello sviluppo della mobilit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leggera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ormai chiaro, ma la tendenza emergente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coinvolgimento e il ruolo attivo delle aziende private. Ne hanno parlato rispettivamente </w:t>
      </w:r>
      <w:r>
        <w:rPr>
          <w:b w:val="1"/>
          <w:bCs w:val="1"/>
          <w:rtl w:val="0"/>
          <w:lang w:val="it-IT"/>
        </w:rPr>
        <w:t>Ottavio Castelletti,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della </w:t>
      </w:r>
      <w:r>
        <w:rPr>
          <w:b w:val="1"/>
          <w:bCs w:val="1"/>
          <w:rtl w:val="0"/>
          <w:lang w:val="it-IT"/>
        </w:rPr>
        <w:t>Citt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Metropolitana di Torino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la presentazione del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nuovo biciplan e </w:t>
      </w:r>
      <w:r>
        <w:rPr>
          <w:b w:val="1"/>
          <w:bCs w:val="1"/>
          <w:rtl w:val="0"/>
          <w:lang w:val="it-IT"/>
        </w:rPr>
        <w:t>Antonio della Venezia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di </w:t>
      </w:r>
      <w:r>
        <w:rPr>
          <w:b w:val="1"/>
          <w:bCs w:val="1"/>
          <w:rtl w:val="0"/>
          <w:lang w:val="it-IT"/>
        </w:rPr>
        <w:t>FIAB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Il settore ha trovato anche dal punto di vista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offerta nuovi ambiti di sviluppo, come i meccanismi di remunerazione per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utilizzo della bicicletta (Pin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Bike), la multimodalit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rtl w:val="0"/>
          <w:lang w:val="it-IT"/>
        </w:rPr>
        <w:t>LIME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 e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allargamento delle aree servite fuori dall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ambito strettamente cittadin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Su questo, DOTT ha presentato il suo nuovo servizio metropolitano, che utilizza una nuova serie di mezzi appositamente concepiti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oggetto di una sessione dimostrativa alla fine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evento. 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Next Generation Mobility torner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anno prossimo dal 10 al 12 maggio.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evento nasce da una partnership consolidata: Clickutility Team, che da oltre 15 anni organizza convegni in ambito mobilit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smart city, e Studio Comelli, che da sempre si occupa di progettare contenuti di eventi e agende scientifiche e di media relations. 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Maggiori informazioni sull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evento sul sito: www.ngmobility.it</w:t>
      </w:r>
    </w:p>
    <w:p>
      <w:pPr>
        <w:pStyle w:val="Normal.0"/>
        <w:rPr>
          <w:rFonts w:ascii="Arial" w:cs="Arial" w:hAnsi="Arial" w:eastAsia="Arial"/>
          <w:b w:val="1"/>
          <w:bCs w:val="1"/>
          <w:i w:val="1"/>
          <w:iCs w:val="1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UFFICIO STAMPA E MEDIA RELATIONS</w:t>
      </w: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Studio Comelli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Conferences&amp;Communication</w:t>
      </w:r>
    </w:p>
    <w:p>
      <w:pPr>
        <w:pStyle w:val="Normal.0"/>
        <w:rPr>
          <w:rStyle w:val="Nessuno"/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Aurora Marin -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"mailto:aurora@studiocomelli.eu"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aurora@studiocomelli.eu</w:t>
      </w:r>
      <w:r>
        <w:rPr/>
        <w:fldChar w:fldCharType="end" w:fldLock="0"/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 xml:space="preserve"> –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347 1722820</w:t>
      </w:r>
    </w:p>
    <w:p>
      <w:pPr>
        <w:pStyle w:val="Normal.0"/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Salvatore Bruno -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"mailto:s.bruno@urlaaa.it"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s.bruno@urlaaa.it</w:t>
      </w:r>
      <w:r>
        <w:rPr/>
        <w:fldChar w:fldCharType="end" w:fldLock="0"/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 xml:space="preserve"> –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335 398913</w:t>
      </w:r>
    </w:p>
    <w:sectPr>
      <w:headerReference w:type="default" r:id="rId4"/>
      <w:footerReference w:type="default" r:id="rId5"/>
      <w:pgSz w:w="11900" w:h="16840" w:orient="portrait"/>
      <w:pgMar w:top="2552" w:right="701" w:bottom="1701" w:left="1134" w:header="284" w:footer="5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spacing w:after="120"/>
      <w:jc w:val="center"/>
      <w:rPr>
        <w:b w:val="1"/>
        <w:bCs w:val="1"/>
        <w:outline w:val="0"/>
        <w:color w:val="1e3b87"/>
        <w:u w:color="1e3b87"/>
        <w14:textFill>
          <w14:solidFill>
            <w14:srgbClr w14:val="1E3B87"/>
          </w14:solidFill>
        </w14:textFill>
      </w:rPr>
    </w:pPr>
  </w:p>
  <w:p>
    <w:pPr>
      <w:pStyle w:val="footer"/>
      <w:spacing w:after="120"/>
      <w:jc w:val="center"/>
      <w:rPr>
        <w:b w:val="1"/>
        <w:bCs w:val="1"/>
        <w:outline w:val="0"/>
        <w:color w:val="1e3b87"/>
        <w:u w:color="1e3b87"/>
        <w14:textFill>
          <w14:solidFill>
            <w14:srgbClr w14:val="1E3B87"/>
          </w14:solidFill>
        </w14:textFill>
      </w:rPr>
    </w:pPr>
    <w:r>
      <w:rPr>
        <w:b w:val="1"/>
        <w:bCs w:val="1"/>
        <w:outline w:val="0"/>
        <w:color w:val="1e3b87"/>
        <w:u w:color="1e3b87"/>
        <w:rtl w:val="0"/>
        <w:lang w:val="it-IT"/>
        <w14:textFill>
          <w14:solidFill>
            <w14:srgbClr w14:val="1E3B87"/>
          </w14:solidFill>
        </w14:textFill>
      </w:rPr>
      <w:t>ORGANIZZATO DA</w:t>
    </w:r>
  </w:p>
  <w:p>
    <w:pPr>
      <w:pStyle w:val="footer"/>
      <w:jc w:val="center"/>
    </w:pPr>
    <w:r>
      <w:drawing xmlns:a="http://schemas.openxmlformats.org/drawingml/2006/main">
        <wp:inline distT="0" distB="0" distL="0" distR="0">
          <wp:extent cx="1210808" cy="288002"/>
          <wp:effectExtent l="0" t="0" r="0" b="0"/>
          <wp:docPr id="1073741827" name="officeArt object" descr="Immagin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29" descr="Immagine 2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808" cy="2880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it-IT"/>
      </w:rPr>
      <w:t xml:space="preserve">               </w:t>
    </w:r>
    <w:r>
      <w:drawing xmlns:a="http://schemas.openxmlformats.org/drawingml/2006/main">
        <wp:inline distT="0" distB="0" distL="0" distR="0">
          <wp:extent cx="1111815" cy="288002"/>
          <wp:effectExtent l="0" t="0" r="0" b="0"/>
          <wp:docPr id="1073741828" name="officeArt object" descr="Immagin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 30" descr="Immagine 3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15" cy="2880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-3416617</wp:posOffset>
              </wp:positionH>
              <wp:positionV relativeFrom="page">
                <wp:posOffset>4949825</wp:posOffset>
              </wp:positionV>
              <wp:extent cx="7341235" cy="472441"/>
              <wp:effectExtent l="0" t="0" r="0" b="0"/>
              <wp:wrapNone/>
              <wp:docPr id="1073741825" name="officeArt object" descr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7341235" cy="47244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outline w:val="0"/>
                              <w:color w:val="1f497d"/>
                              <w:sz w:val="52"/>
                              <w:szCs w:val="52"/>
                              <w:u w:color="1f497d"/>
                              <w:rtl w:val="0"/>
                              <w:lang w:val="it-IT"/>
                              <w14:textFill>
                                <w14:solidFill>
                                  <w14:srgbClr w14:val="1F497D"/>
                                </w14:solidFill>
                              </w14:textFill>
                            </w:rPr>
                            <w:t>INFORMAZIONI PER LA STAMPA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-269.0pt;margin-top:389.8pt;width:578.0pt;height:37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jc w:val="center"/>
                    </w:pPr>
                    <w:r>
                      <w:rPr>
                        <w:rFonts w:ascii="Arial Narrow" w:hAnsi="Arial Narrow"/>
                        <w:outline w:val="0"/>
                        <w:color w:val="1f497d"/>
                        <w:sz w:val="52"/>
                        <w:szCs w:val="52"/>
                        <w:u w:color="1f497d"/>
                        <w:rtl w:val="0"/>
                        <w:lang w:val="it-IT"/>
                        <w14:textFill>
                          <w14:solidFill>
                            <w14:srgbClr w14:val="1F497D"/>
                          </w14:solidFill>
                        </w14:textFill>
                      </w:rPr>
                      <w:t>INFORMAZIONI PER LA STAMPA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2590800</wp:posOffset>
          </wp:positionH>
          <wp:positionV relativeFrom="page">
            <wp:posOffset>160020</wp:posOffset>
          </wp:positionV>
          <wp:extent cx="2363470" cy="1333500"/>
          <wp:effectExtent l="0" t="0" r="0" b="0"/>
          <wp:wrapNone/>
          <wp:docPr id="1073741826" name="officeArt object" descr="Immagin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28" descr="Immagine 2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3470" cy="1333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  <w:jc w:val="center"/>
      <w:rPr>
        <w:outline w:val="0"/>
        <w:color w:val="1e3b87"/>
        <w:spacing w:val="10"/>
        <w:sz w:val="28"/>
        <w:szCs w:val="28"/>
        <w:u w:color="1e3b87"/>
        <w14:textFill>
          <w14:solidFill>
            <w14:srgbClr w14:val="1E3B87"/>
          </w14:solidFill>
        </w14:textFill>
      </w:rPr>
    </w:pPr>
  </w:p>
  <w:p>
    <w:pPr>
      <w:pStyle w:val="header"/>
      <w:jc w:val="center"/>
      <w:rPr>
        <w:outline w:val="0"/>
        <w:color w:val="1e3b87"/>
        <w:spacing w:val="10"/>
        <w:sz w:val="28"/>
        <w:szCs w:val="28"/>
        <w:u w:color="1e3b87"/>
        <w14:textFill>
          <w14:solidFill>
            <w14:srgbClr w14:val="1E3B87"/>
          </w14:solidFill>
        </w14:textFill>
      </w:rPr>
    </w:pPr>
  </w:p>
  <w:p>
    <w:pPr>
      <w:pStyle w:val="header"/>
      <w:jc w:val="center"/>
      <w:rPr>
        <w:outline w:val="0"/>
        <w:color w:val="1e3b87"/>
        <w:spacing w:val="10"/>
        <w:sz w:val="28"/>
        <w:szCs w:val="28"/>
        <w:u w:color="1e3b87"/>
        <w14:textFill>
          <w14:solidFill>
            <w14:srgbClr w14:val="1E3B87"/>
          </w14:solidFill>
        </w14:textFill>
      </w:rPr>
    </w:pPr>
  </w:p>
  <w:p>
    <w:pPr>
      <w:pStyle w:val="header"/>
      <w:jc w:val="center"/>
      <w:rPr>
        <w:outline w:val="0"/>
        <w:color w:val="1e3b87"/>
        <w:spacing w:val="10"/>
        <w:sz w:val="28"/>
        <w:szCs w:val="28"/>
        <w:u w:color="1e3b87"/>
        <w14:textFill>
          <w14:solidFill>
            <w14:srgbClr w14:val="1E3B87"/>
          </w14:solidFill>
        </w14:textFill>
      </w:rPr>
    </w:pPr>
  </w:p>
  <w:p>
    <w:pPr>
      <w:pStyle w:val="header"/>
      <w:jc w:val="center"/>
      <w:rPr>
        <w:outline w:val="0"/>
        <w:color w:val="1e3b87"/>
        <w:spacing w:val="10"/>
        <w:sz w:val="28"/>
        <w:szCs w:val="28"/>
        <w:u w:color="1e3b87"/>
        <w14:textFill>
          <w14:solidFill>
            <w14:srgbClr w14:val="1E3B87"/>
          </w14:solidFill>
        </w14:textFill>
      </w:rPr>
    </w:pPr>
  </w:p>
  <w:p>
    <w:pPr>
      <w:pStyle w:val="header"/>
      <w:jc w:val="center"/>
      <w:rPr>
        <w:outline w:val="0"/>
        <w:color w:val="1e3b87"/>
        <w:spacing w:val="10"/>
        <w:sz w:val="28"/>
        <w:szCs w:val="28"/>
        <w:u w:color="1e3b87"/>
        <w14:textFill>
          <w14:solidFill>
            <w14:srgbClr w14:val="1E3B87"/>
          </w14:solidFill>
        </w14:textFill>
      </w:rPr>
    </w:pPr>
  </w:p>
  <w:p>
    <w:pPr>
      <w:pStyle w:val="header"/>
      <w:jc w:val="center"/>
      <w:rPr>
        <w:outline w:val="0"/>
        <w:color w:val="1e3b87"/>
        <w:spacing w:val="10"/>
        <w:sz w:val="28"/>
        <w:szCs w:val="28"/>
        <w:u w:color="1e3b87"/>
        <w14:textFill>
          <w14:solidFill>
            <w14:srgbClr w14:val="1E3B87"/>
          </w14:solidFill>
        </w14:textFill>
      </w:rPr>
    </w:pPr>
    <w:r>
      <w:rPr>
        <w:outline w:val="0"/>
        <w:color w:val="1e3b87"/>
        <w:spacing w:val="10"/>
        <w:sz w:val="28"/>
        <w:szCs w:val="28"/>
        <w:u w:color="1e3b87"/>
        <w:rtl w:val="0"/>
        <w:lang w:val="it-IT"/>
        <w14:textFill>
          <w14:solidFill>
            <w14:srgbClr w14:val="1E3B87"/>
          </w14:solidFill>
        </w14:textFill>
      </w:rPr>
      <w:t xml:space="preserve">3 - 4 </w:t>
    </w:r>
    <w:r>
      <w:rPr>
        <w:outline w:val="0"/>
        <w:color w:val="1e3b87"/>
        <w:spacing w:val="10"/>
        <w:sz w:val="28"/>
        <w:szCs w:val="28"/>
        <w:u w:color="1e3b87"/>
        <w:rtl w:val="0"/>
        <w:lang w:val="it-IT"/>
        <w14:textFill>
          <w14:solidFill>
            <w14:srgbClr w14:val="1E3B87"/>
          </w14:solidFill>
        </w14:textFill>
      </w:rPr>
      <w:t xml:space="preserve">– </w:t>
    </w:r>
    <w:r>
      <w:rPr>
        <w:outline w:val="0"/>
        <w:color w:val="1e3b87"/>
        <w:spacing w:val="10"/>
        <w:sz w:val="28"/>
        <w:szCs w:val="28"/>
        <w:u w:color="1e3b87"/>
        <w:rtl w:val="0"/>
        <w:lang w:val="it-IT"/>
        <w14:textFill>
          <w14:solidFill>
            <w14:srgbClr w14:val="1E3B87"/>
          </w14:solidFill>
        </w14:textFill>
      </w:rPr>
      <w:t>5 maggio 2022</w:t>
    </w:r>
  </w:p>
  <w:p>
    <w:pPr>
      <w:pStyle w:val="header"/>
      <w:jc w:val="center"/>
    </w:pPr>
    <w:r>
      <w:rPr>
        <w:outline w:val="0"/>
        <w:color w:val="e7da12"/>
        <w:spacing w:val="10"/>
        <w:sz w:val="28"/>
        <w:szCs w:val="28"/>
        <w:u w:color="e7da12"/>
        <w:rtl w:val="0"/>
        <w:lang w:val="it-IT"/>
        <w14:textFill>
          <w14:solidFill>
            <w14:srgbClr w14:val="E7DA12"/>
          </w14:solidFill>
        </w14:textFill>
      </w:rPr>
      <w:t xml:space="preserve">www.ngmobility.it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rFonts w:ascii="Arial" w:cs="Arial" w:hAnsi="Arial" w:eastAsia="Arial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